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83" w:rsidRDefault="00594C83" w:rsidP="00594C8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7429E"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inline distT="0" distB="0" distL="0" distR="0">
            <wp:extent cx="5210175" cy="904875"/>
            <wp:effectExtent l="19050" t="0" r="9525" b="0"/>
            <wp:docPr id="2" name="圖片 2" descr="全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全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4906">
        <w:rPr>
          <w:rFonts w:ascii="標楷體" w:eastAsia="標楷體" w:hAnsi="標楷體" w:hint="eastAsia"/>
          <w:b/>
          <w:sz w:val="32"/>
          <w:szCs w:val="32"/>
        </w:rPr>
        <w:t>「教育部品質認證教材流程暨自製教材完全攻略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A34906" w:rsidRPr="00594C83" w:rsidRDefault="00594C83" w:rsidP="00594C83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教育訓練課程</w:t>
      </w:r>
      <w:r w:rsidR="00A34906">
        <w:rPr>
          <w:rFonts w:ascii="標楷體" w:eastAsia="標楷體" w:hAnsi="標楷體" w:hint="eastAsia"/>
          <w:b/>
          <w:sz w:val="32"/>
          <w:szCs w:val="32"/>
        </w:rPr>
        <w:t>企劃書</w:t>
      </w:r>
    </w:p>
    <w:p w:rsidR="00251137" w:rsidRDefault="00251137" w:rsidP="00594C83">
      <w:pPr>
        <w:spacing w:line="400" w:lineRule="exact"/>
        <w:ind w:leftChars="-294" w:left="1276" w:rightChars="-260" w:right="-624" w:hangingChars="708" w:hanging="1982"/>
        <w:rPr>
          <w:rFonts w:ascii="標楷體" w:eastAsia="標楷體" w:hAnsi="標楷體"/>
          <w:sz w:val="28"/>
          <w:szCs w:val="28"/>
        </w:rPr>
      </w:pPr>
      <w:r w:rsidRPr="00251137">
        <w:rPr>
          <w:rFonts w:ascii="標楷體" w:eastAsia="標楷體" w:hAnsi="標楷體" w:hint="eastAsia"/>
          <w:sz w:val="28"/>
          <w:szCs w:val="28"/>
        </w:rPr>
        <w:t>一、活動宗旨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94C83">
        <w:rPr>
          <w:rFonts w:ascii="標楷體" w:eastAsia="標楷體" w:hAnsi="標楷體" w:hint="eastAsia"/>
          <w:sz w:val="28"/>
          <w:szCs w:val="28"/>
        </w:rPr>
        <w:t>為促進</w:t>
      </w:r>
      <w:r w:rsidR="002E1217">
        <w:rPr>
          <w:rFonts w:ascii="標楷體" w:eastAsia="標楷體" w:hAnsi="標楷體" w:hint="eastAsia"/>
          <w:sz w:val="28"/>
          <w:szCs w:val="28"/>
        </w:rPr>
        <w:t>高高屏</w:t>
      </w:r>
      <w:r w:rsidRPr="00594C83">
        <w:rPr>
          <w:rFonts w:ascii="標楷體" w:eastAsia="標楷體" w:hAnsi="標楷體" w:hint="eastAsia"/>
          <w:sz w:val="28"/>
          <w:szCs w:val="28"/>
        </w:rPr>
        <w:t>區域內整體教學品質之提升。本中心擬辦理「教育部品質認證教材流程暨自製教材完全攻略」教育</w:t>
      </w:r>
      <w:r w:rsidR="002E1217">
        <w:rPr>
          <w:rFonts w:ascii="標楷體" w:eastAsia="標楷體" w:hAnsi="標楷體" w:hint="eastAsia"/>
          <w:sz w:val="28"/>
          <w:szCs w:val="28"/>
        </w:rPr>
        <w:t>課程，</w:t>
      </w:r>
      <w:r w:rsidRPr="00594C83">
        <w:rPr>
          <w:rFonts w:ascii="標楷體" w:eastAsia="標楷體" w:hAnsi="標楷體" w:hint="eastAsia"/>
          <w:sz w:val="28"/>
          <w:szCs w:val="28"/>
        </w:rPr>
        <w:t>開放高高屏伙伴學校教師參與。</w:t>
      </w:r>
      <w:proofErr w:type="gramStart"/>
      <w:r w:rsidRPr="00594C83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Pr="00594C83">
        <w:rPr>
          <w:rFonts w:ascii="標楷體" w:eastAsia="標楷體" w:hAnsi="標楷體" w:hint="eastAsia"/>
          <w:sz w:val="28"/>
          <w:szCs w:val="28"/>
        </w:rPr>
        <w:t>使參加教師能認識校園自製教材導入策略並了解校園教材認證流程，熟悉自製教材大師工具操作方式。了解如何快速製作符合教育部要求品質的數位教材</w:t>
      </w:r>
      <w:r w:rsidR="00594C83">
        <w:rPr>
          <w:rFonts w:ascii="標楷體" w:eastAsia="標楷體" w:hAnsi="標楷體" w:hint="eastAsia"/>
          <w:sz w:val="28"/>
          <w:szCs w:val="28"/>
        </w:rPr>
        <w:t>。</w:t>
      </w:r>
    </w:p>
    <w:p w:rsidR="00594C83" w:rsidRDefault="00594C83" w:rsidP="00594C83">
      <w:pPr>
        <w:spacing w:line="400" w:lineRule="exact"/>
        <w:ind w:leftChars="-294" w:left="1276" w:rightChars="-260" w:right="-624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二、活動方式：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教育訓練方式辦理。</w:t>
      </w:r>
    </w:p>
    <w:p w:rsidR="00594C83" w:rsidRDefault="00594C83" w:rsidP="00594C83">
      <w:pPr>
        <w:spacing w:line="400" w:lineRule="exact"/>
        <w:ind w:leftChars="-294" w:left="1276" w:rightChars="-260" w:right="-624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三、活動時間：擬於100年4月22日（星期五）下午13：30~16：00舉行</w:t>
      </w:r>
      <w:r w:rsidR="000E45F0">
        <w:rPr>
          <w:rFonts w:ascii="標楷體" w:eastAsia="標楷體" w:hAnsi="標楷體" w:hint="eastAsia"/>
          <w:sz w:val="28"/>
          <w:szCs w:val="28"/>
        </w:rPr>
        <w:t>。</w:t>
      </w:r>
    </w:p>
    <w:p w:rsidR="00594C83" w:rsidRDefault="00594C83" w:rsidP="00594C83">
      <w:pPr>
        <w:spacing w:line="400" w:lineRule="exact"/>
        <w:ind w:leftChars="-294" w:left="1276" w:rightChars="-260" w:right="-624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四、活動地點：</w:t>
      </w:r>
      <w:r w:rsidR="000E45F0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0E45F0">
        <w:rPr>
          <w:rFonts w:ascii="標楷體" w:eastAsia="標楷體" w:hAnsi="標楷體" w:hint="eastAsia"/>
          <w:sz w:val="28"/>
          <w:szCs w:val="28"/>
        </w:rPr>
        <w:t>本校圖資大樓</w:t>
      </w:r>
      <w:proofErr w:type="gramEnd"/>
      <w:r w:rsidR="000E45F0">
        <w:rPr>
          <w:rFonts w:ascii="標楷體" w:eastAsia="標楷體" w:hAnsi="標楷體" w:hint="eastAsia"/>
          <w:sz w:val="28"/>
          <w:szCs w:val="28"/>
        </w:rPr>
        <w:t>PC03教室。</w:t>
      </w:r>
    </w:p>
    <w:p w:rsidR="000E45F0" w:rsidRDefault="000E45F0" w:rsidP="00594C83">
      <w:pPr>
        <w:spacing w:line="400" w:lineRule="exact"/>
        <w:ind w:leftChars="-294" w:left="1276" w:rightChars="-260" w:right="-624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五、主辦單位：國立中山大學教務處教學發展中心。</w:t>
      </w:r>
    </w:p>
    <w:p w:rsidR="000E45F0" w:rsidRDefault="000E45F0" w:rsidP="00594C83">
      <w:pPr>
        <w:spacing w:line="400" w:lineRule="exact"/>
        <w:ind w:leftChars="-294" w:left="1276" w:rightChars="-260" w:right="-624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六、參加對象：</w:t>
      </w:r>
      <w:r w:rsidRPr="000E45F0">
        <w:rPr>
          <w:rFonts w:ascii="標楷體" w:eastAsia="標楷體" w:hAnsi="標楷體" w:hint="eastAsia"/>
          <w:sz w:val="28"/>
          <w:szCs w:val="28"/>
        </w:rPr>
        <w:t>高高屏區教學資源中心學各校對此議題有興趣之老師與學生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E45F0" w:rsidRDefault="000E45F0" w:rsidP="00594C83">
      <w:pPr>
        <w:spacing w:line="400" w:lineRule="exact"/>
        <w:ind w:leftChars="-294" w:left="1276" w:rightChars="-260" w:right="-624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七、活動流程：</w:t>
      </w:r>
    </w:p>
    <w:tbl>
      <w:tblPr>
        <w:tblStyle w:val="a9"/>
        <w:tblW w:w="9640" w:type="dxa"/>
        <w:tblInd w:w="-601" w:type="dxa"/>
        <w:tblLook w:val="04A0"/>
      </w:tblPr>
      <w:tblGrid>
        <w:gridCol w:w="2127"/>
        <w:gridCol w:w="5386"/>
        <w:gridCol w:w="2127"/>
      </w:tblGrid>
      <w:tr w:rsidR="000E45F0" w:rsidTr="00F353FF">
        <w:tc>
          <w:tcPr>
            <w:tcW w:w="2127" w:type="dxa"/>
            <w:shd w:val="clear" w:color="auto" w:fill="D9D9D9" w:themeFill="background1" w:themeFillShade="D9"/>
          </w:tcPr>
          <w:p w:rsidR="000E45F0" w:rsidRPr="000E45F0" w:rsidRDefault="000E45F0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時間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0E45F0" w:rsidRPr="000E45F0" w:rsidRDefault="000E45F0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活動內容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E45F0" w:rsidRPr="000E45F0" w:rsidRDefault="000E45F0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主持人/演講者</w:t>
            </w:r>
          </w:p>
        </w:tc>
      </w:tr>
      <w:tr w:rsidR="000E45F0" w:rsidTr="00F353FF">
        <w:tc>
          <w:tcPr>
            <w:tcW w:w="2127" w:type="dxa"/>
          </w:tcPr>
          <w:p w:rsidR="000E45F0" w:rsidRDefault="000E45F0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13：00~13：30</w:t>
            </w:r>
          </w:p>
        </w:tc>
        <w:tc>
          <w:tcPr>
            <w:tcW w:w="5386" w:type="dxa"/>
          </w:tcPr>
          <w:p w:rsidR="000E45F0" w:rsidRDefault="00485DC9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27" w:type="dxa"/>
          </w:tcPr>
          <w:p w:rsidR="000E45F0" w:rsidRDefault="000E45F0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F0" w:rsidTr="00F353FF">
        <w:tc>
          <w:tcPr>
            <w:tcW w:w="2127" w:type="dxa"/>
          </w:tcPr>
          <w:p w:rsidR="000E45F0" w:rsidRDefault="000E45F0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13：30~13：40</w:t>
            </w:r>
          </w:p>
        </w:tc>
        <w:tc>
          <w:tcPr>
            <w:tcW w:w="5386" w:type="dxa"/>
          </w:tcPr>
          <w:p w:rsidR="000E45F0" w:rsidRDefault="00485DC9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主持人致詞</w:t>
            </w:r>
          </w:p>
        </w:tc>
        <w:tc>
          <w:tcPr>
            <w:tcW w:w="2127" w:type="dxa"/>
          </w:tcPr>
          <w:p w:rsidR="000E45F0" w:rsidRDefault="000E45F0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F0" w:rsidTr="00F353FF">
        <w:tc>
          <w:tcPr>
            <w:tcW w:w="2127" w:type="dxa"/>
          </w:tcPr>
          <w:p w:rsidR="000E45F0" w:rsidRDefault="000E45F0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13：40~14：30</w:t>
            </w:r>
          </w:p>
        </w:tc>
        <w:tc>
          <w:tcPr>
            <w:tcW w:w="5386" w:type="dxa"/>
          </w:tcPr>
          <w:p w:rsidR="000E45F0" w:rsidRDefault="00485DC9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教育部品質認證教材簡介</w:t>
            </w:r>
          </w:p>
          <w:p w:rsidR="00485DC9" w:rsidRDefault="00485DC9" w:rsidP="00485DC9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485DC9">
              <w:rPr>
                <w:rFonts w:ascii="標楷體" w:eastAsia="標楷體" w:hAnsi="標楷體" w:hint="eastAsia"/>
                <w:sz w:val="28"/>
                <w:szCs w:val="28"/>
              </w:rPr>
              <w:t>教育部品質認證教材簡介</w:t>
            </w:r>
          </w:p>
          <w:p w:rsidR="00485DC9" w:rsidRDefault="00485DC9" w:rsidP="00485DC9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2.校園教材開發流程與建議</w:t>
            </w:r>
          </w:p>
          <w:p w:rsidR="00485DC9" w:rsidRDefault="00485DC9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3.學習訊息分享</w:t>
            </w:r>
          </w:p>
          <w:p w:rsidR="00485DC9" w:rsidRPr="00485DC9" w:rsidRDefault="00485DC9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4.自製教材分工策略</w:t>
            </w:r>
          </w:p>
        </w:tc>
        <w:tc>
          <w:tcPr>
            <w:tcW w:w="2127" w:type="dxa"/>
          </w:tcPr>
          <w:p w:rsidR="000E45F0" w:rsidRDefault="000E45F0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F0" w:rsidTr="00F353FF">
        <w:tc>
          <w:tcPr>
            <w:tcW w:w="2127" w:type="dxa"/>
          </w:tcPr>
          <w:p w:rsidR="000E45F0" w:rsidRDefault="000E45F0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14：30~14：40</w:t>
            </w:r>
          </w:p>
        </w:tc>
        <w:tc>
          <w:tcPr>
            <w:tcW w:w="5386" w:type="dxa"/>
          </w:tcPr>
          <w:p w:rsidR="000E45F0" w:rsidRDefault="00F353FF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2127" w:type="dxa"/>
          </w:tcPr>
          <w:p w:rsidR="000E45F0" w:rsidRDefault="000E45F0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F0" w:rsidTr="00F353FF">
        <w:tc>
          <w:tcPr>
            <w:tcW w:w="2127" w:type="dxa"/>
          </w:tcPr>
          <w:p w:rsidR="000E45F0" w:rsidRDefault="000E45F0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485DC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485DC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</w:tc>
        <w:tc>
          <w:tcPr>
            <w:tcW w:w="5386" w:type="dxa"/>
          </w:tcPr>
          <w:p w:rsidR="000E45F0" w:rsidRDefault="00F353FF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自製教材完全攻略</w:t>
            </w:r>
          </w:p>
          <w:p w:rsidR="00F353FF" w:rsidRDefault="00F353FF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1.將教學策略融入課程內容</w:t>
            </w:r>
          </w:p>
          <w:p w:rsidR="00F353FF" w:rsidRDefault="00F353FF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2.自製教材大師介紹</w:t>
            </w:r>
          </w:p>
          <w:p w:rsidR="00F353FF" w:rsidRDefault="00F353FF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3.利用自製教材大師製作課程資訊 </w:t>
            </w:r>
          </w:p>
          <w:p w:rsidR="00F353FF" w:rsidRDefault="00F353FF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4.匯入既有的課程素材</w:t>
            </w:r>
          </w:p>
          <w:p w:rsidR="00F353FF" w:rsidRPr="00F353FF" w:rsidRDefault="00F353FF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5.簡報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錄音模組錄製所需要的簡報</w:t>
            </w:r>
          </w:p>
          <w:p w:rsidR="00F353FF" w:rsidRDefault="00F353FF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6.形成性評鑑考題製作</w:t>
            </w:r>
          </w:p>
          <w:p w:rsidR="00F353FF" w:rsidRDefault="00F353FF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7.延伸學習資訊製作</w:t>
            </w:r>
          </w:p>
          <w:p w:rsidR="00F353FF" w:rsidRDefault="00F353FF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8.將課程發佈成符合SCORM規格之教材</w:t>
            </w:r>
          </w:p>
        </w:tc>
        <w:tc>
          <w:tcPr>
            <w:tcW w:w="2127" w:type="dxa"/>
          </w:tcPr>
          <w:p w:rsidR="000E45F0" w:rsidRDefault="000E45F0" w:rsidP="00594C83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353FF" w:rsidRDefault="002E1217" w:rsidP="002E1217">
      <w:pPr>
        <w:spacing w:line="400" w:lineRule="exact"/>
        <w:ind w:leftChars="-295" w:rightChars="-260" w:right="-624" w:hangingChars="253" w:hanging="70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八、交通資訊</w:t>
      </w:r>
    </w:p>
    <w:p w:rsidR="002E1217" w:rsidRPr="002E1217" w:rsidRDefault="002E1217" w:rsidP="002E1217">
      <w:pPr>
        <w:spacing w:line="400" w:lineRule="exact"/>
        <w:ind w:leftChars="-294" w:left="1276" w:rightChars="-260" w:right="-624" w:hangingChars="708" w:hanging="1982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E1217">
        <w:rPr>
          <w:rFonts w:ascii="標楷體" w:eastAsia="標楷體" w:hAnsi="標楷體" w:hint="eastAsia"/>
          <w:sz w:val="22"/>
        </w:rPr>
        <w:t xml:space="preserve"> </w:t>
      </w:r>
      <w:r w:rsidRPr="002E121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2E121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E1217">
        <w:rPr>
          <w:rFonts w:ascii="標楷體" w:eastAsia="標楷體" w:hAnsi="標楷體" w:hint="eastAsia"/>
          <w:color w:val="000000" w:themeColor="text1"/>
          <w:sz w:val="28"/>
          <w:szCs w:val="28"/>
        </w:rPr>
        <w:t>)搭乘公車</w:t>
      </w:r>
    </w:p>
    <w:p w:rsidR="002E1217" w:rsidRPr="002E1217" w:rsidRDefault="002E1217" w:rsidP="002E1217">
      <w:pPr>
        <w:pStyle w:val="Web"/>
        <w:spacing w:before="0" w:beforeAutospacing="0" w:after="0" w:afterAutospacing="0" w:line="400" w:lineRule="exact"/>
        <w:ind w:left="496" w:hangingChars="177" w:hanging="496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E121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 xml:space="preserve">  1.</w:t>
      </w:r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學校隧道口至高雄火車站有248路公車可搭乘，車程約20分鐘，票價12元，</w:t>
      </w:r>
      <w:r w:rsidRPr="002E12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班距約</w:t>
      </w:r>
      <w:proofErr w:type="gramEnd"/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 xml:space="preserve">15~20分鐘。 </w:t>
      </w:r>
    </w:p>
    <w:p w:rsidR="002E1217" w:rsidRPr="002E1217" w:rsidRDefault="002E1217" w:rsidP="002E1217">
      <w:pPr>
        <w:pStyle w:val="Web"/>
        <w:spacing w:before="0" w:beforeAutospacing="0" w:after="0" w:afterAutospacing="0"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121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 xml:space="preserve">  2.</w:t>
      </w:r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學校隧道口至大立伊勢丹、新</w:t>
      </w:r>
      <w:proofErr w:type="gramStart"/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堀</w:t>
      </w:r>
      <w:proofErr w:type="gramEnd"/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江及文化中心有50路公車可搭乘，票價12元，</w:t>
      </w:r>
      <w:proofErr w:type="gramStart"/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班距約</w:t>
      </w:r>
      <w:proofErr w:type="gramEnd"/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15~20分鐘</w:t>
      </w:r>
    </w:p>
    <w:p w:rsidR="002E1217" w:rsidRPr="002E1217" w:rsidRDefault="002E1217" w:rsidP="002E1217">
      <w:pPr>
        <w:spacing w:line="400" w:lineRule="exact"/>
        <w:ind w:leftChars="-119" w:left="1274" w:rightChars="-260" w:right="-624" w:hangingChars="557" w:hanging="156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E1217">
        <w:rPr>
          <w:rFonts w:ascii="標楷體" w:eastAsia="標楷體" w:hAnsi="標楷體" w:hint="eastAsia"/>
          <w:color w:val="000000" w:themeColor="text1"/>
          <w:sz w:val="28"/>
          <w:szCs w:val="28"/>
        </w:rPr>
        <w:t>(二)搭乘捷運</w:t>
      </w:r>
    </w:p>
    <w:p w:rsidR="002E1217" w:rsidRPr="002E1217" w:rsidRDefault="002E1217" w:rsidP="002E1217">
      <w:pPr>
        <w:spacing w:line="400" w:lineRule="exact"/>
        <w:ind w:leftChars="118" w:left="283" w:rightChars="-260" w:right="-624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於西子灣站下車，請由2號出口(鼓山一路)出站，下車後轉乘公車</w:t>
      </w:r>
      <w:proofErr w:type="gramStart"/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橘</w:t>
      </w:r>
      <w:proofErr w:type="gramEnd"/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1，至本校行政大樓下車。 (每5分鐘</w:t>
      </w:r>
      <w:proofErr w:type="gramStart"/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班車)</w:t>
      </w:r>
    </w:p>
    <w:p w:rsidR="002E1217" w:rsidRPr="002E1217" w:rsidRDefault="002E1217" w:rsidP="002E1217">
      <w:pPr>
        <w:spacing w:line="400" w:lineRule="exact"/>
        <w:ind w:leftChars="59" w:left="142" w:rightChars="-260" w:right="-624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2E1217" w:rsidRPr="002E1217" w:rsidRDefault="002E1217" w:rsidP="002E1217">
      <w:pPr>
        <w:spacing w:line="400" w:lineRule="exact"/>
        <w:ind w:leftChars="-118" w:left="213" w:rightChars="-260" w:right="-624" w:hangingChars="177" w:hanging="496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E1217">
        <w:rPr>
          <w:rFonts w:ascii="標楷體" w:eastAsia="標楷體" w:hAnsi="標楷體" w:hint="eastAsia"/>
          <w:color w:val="000000" w:themeColor="text1"/>
          <w:sz w:val="28"/>
          <w:szCs w:val="28"/>
        </w:rPr>
        <w:t>(三)自行開車</w:t>
      </w:r>
    </w:p>
    <w:p w:rsidR="002E1217" w:rsidRDefault="002E1217" w:rsidP="002E1217">
      <w:pPr>
        <w:spacing w:line="400" w:lineRule="exact"/>
        <w:ind w:leftChars="-118" w:left="565" w:rightChars="-260" w:right="-624" w:hangingChars="303" w:hanging="84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E12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本校位置位於高雄市鼓山區</w:t>
      </w:r>
      <w:r w:rsidRPr="002E1217">
        <w:rPr>
          <w:rFonts w:ascii="標楷體" w:eastAsia="標楷體" w:hAnsi="標楷體" w:hint="eastAsia"/>
          <w:color w:val="000000" w:themeColor="text1"/>
          <w:sz w:val="28"/>
          <w:szCs w:val="28"/>
        </w:rPr>
        <w:t>蓮</w:t>
      </w:r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海路70號，由於本校為著名</w:t>
      </w:r>
      <w:proofErr w:type="gramStart"/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景點西子</w:t>
      </w:r>
      <w:proofErr w:type="gramEnd"/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灣，因此指標相當明顯，在高雄市區只需跟隨西子灣、鼓山渡輪站或是英國領事館的路標即可至本校。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2E1217" w:rsidRDefault="002E1217" w:rsidP="002E1217">
      <w:pPr>
        <w:spacing w:line="400" w:lineRule="exact"/>
        <w:ind w:leftChars="118" w:left="563" w:rightChars="-260" w:right="-624" w:hangingChars="100" w:hanging="28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E1217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2E1217">
        <w:rPr>
          <w:rFonts w:ascii="標楷體" w:eastAsia="標楷體" w:hAnsi="標楷體"/>
          <w:color w:val="000000" w:themeColor="text1"/>
          <w:sz w:val="28"/>
          <w:szCs w:val="28"/>
        </w:rPr>
        <w:t>若由外縣市而來，可由中山高速公路中正路交流道下，沿中正路接五福路直行到底→左轉鼓山路→右轉臨海二路直行到底→左轉哨船街之後直行，即可到達本校。</w:t>
      </w:r>
    </w:p>
    <w:p w:rsidR="002E1217" w:rsidRDefault="002E1217" w:rsidP="002E1217">
      <w:pPr>
        <w:spacing w:line="400" w:lineRule="exact"/>
        <w:ind w:leftChars="118" w:left="563" w:rightChars="-260" w:right="-624" w:hangingChars="100" w:hanging="28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.5pt;margin-top:13.75pt;width:410.25pt;height:337pt;z-index:251658240" stroked="f">
            <v:textbox>
              <w:txbxContent>
                <w:p w:rsidR="002E1217" w:rsidRDefault="002E1217">
                  <w:r>
                    <w:rPr>
                      <w:noProof/>
                    </w:rPr>
                    <w:drawing>
                      <wp:inline distT="0" distB="0" distL="0" distR="0">
                        <wp:extent cx="5074348" cy="4010025"/>
                        <wp:effectExtent l="19050" t="0" r="0" b="0"/>
                        <wp:docPr id="9" name="圖片 8" descr="NSYSUMAP9907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SYSUMAP990705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81159" cy="40154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E1217" w:rsidRDefault="002E1217" w:rsidP="002E1217">
      <w:pPr>
        <w:spacing w:line="400" w:lineRule="exact"/>
        <w:ind w:leftChars="118" w:left="563" w:rightChars="-260" w:right="-624" w:hangingChars="100" w:hanging="28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2E1217" w:rsidRDefault="002E1217" w:rsidP="002E1217">
      <w:pPr>
        <w:spacing w:line="400" w:lineRule="exact"/>
        <w:ind w:leftChars="118" w:left="563" w:rightChars="-260" w:right="-624" w:hangingChars="100" w:hanging="28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2E1217" w:rsidRPr="002E1217" w:rsidRDefault="002E1217" w:rsidP="002E1217">
      <w:pPr>
        <w:spacing w:line="400" w:lineRule="exact"/>
        <w:ind w:leftChars="118" w:left="563" w:rightChars="-260" w:right="-624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2E1217" w:rsidRPr="002E1217" w:rsidSect="004A05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A9A" w:rsidRDefault="001A2A9A" w:rsidP="00A34906">
      <w:r>
        <w:separator/>
      </w:r>
    </w:p>
  </w:endnote>
  <w:endnote w:type="continuationSeparator" w:id="0">
    <w:p w:rsidR="001A2A9A" w:rsidRDefault="001A2A9A" w:rsidP="00A3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A9A" w:rsidRDefault="001A2A9A" w:rsidP="00A34906">
      <w:r>
        <w:separator/>
      </w:r>
    </w:p>
  </w:footnote>
  <w:footnote w:type="continuationSeparator" w:id="0">
    <w:p w:rsidR="001A2A9A" w:rsidRDefault="001A2A9A" w:rsidP="00A34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906"/>
    <w:rsid w:val="000E45F0"/>
    <w:rsid w:val="001A2A9A"/>
    <w:rsid w:val="00231668"/>
    <w:rsid w:val="00251137"/>
    <w:rsid w:val="002E1217"/>
    <w:rsid w:val="00485DC9"/>
    <w:rsid w:val="004A054F"/>
    <w:rsid w:val="004B4C1A"/>
    <w:rsid w:val="004B4DF7"/>
    <w:rsid w:val="00594C83"/>
    <w:rsid w:val="00622793"/>
    <w:rsid w:val="006C50D4"/>
    <w:rsid w:val="0081673E"/>
    <w:rsid w:val="008A4A98"/>
    <w:rsid w:val="00A34906"/>
    <w:rsid w:val="00DB48BE"/>
    <w:rsid w:val="00EB7462"/>
    <w:rsid w:val="00F353FF"/>
    <w:rsid w:val="00FF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490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49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4C8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E4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E12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2E12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2011-03-14T06:14:00Z</dcterms:created>
  <dcterms:modified xsi:type="dcterms:W3CDTF">2011-03-14T06:14:00Z</dcterms:modified>
</cp:coreProperties>
</file>