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41" w:lineRule="exact" w:before="0"/>
        <w:ind w:left="890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台首大教師多元升等教學實務經驗分享講座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pStyle w:val="BodyText"/>
        <w:spacing w:line="407" w:lineRule="auto" w:before="256"/>
        <w:ind w:right="2890"/>
        <w:jc w:val="left"/>
      </w:pPr>
      <w:r>
        <w:rPr/>
        <w:t>一、</w:t>
      </w:r>
      <w:r>
        <w:rPr>
          <w:spacing w:val="-66"/>
        </w:rPr>
        <w:t> </w:t>
      </w:r>
      <w:r>
        <w:rPr/>
        <w:t>活動時間：</w:t>
      </w:r>
      <w:r>
        <w:rPr>
          <w:rFonts w:ascii="Times New Roman" w:hAnsi="Times New Roman" w:cs="Times New Roman" w:eastAsia="Times New Roman"/>
        </w:rPr>
        <w:t>105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12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下午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13:40-17:40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二、</w:t>
      </w:r>
      <w:r>
        <w:rPr>
          <w:spacing w:val="-66"/>
        </w:rPr>
        <w:t> </w:t>
      </w:r>
      <w:r>
        <w:rPr/>
        <w:t>活動地點：本校致宏樓</w:t>
      </w:r>
      <w:r>
        <w:rPr>
          <w:rFonts w:ascii="Times New Roman" w:hAnsi="Times New Roman" w:cs="Times New Roman" w:eastAsia="Times New Roman"/>
        </w:rPr>
        <w:t>(C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棟</w:t>
      </w:r>
      <w:r>
        <w:rPr>
          <w:rFonts w:ascii="Times New Roman" w:hAnsi="Times New Roman" w:cs="Times New Roman" w:eastAsia="Times New Roman"/>
        </w:rPr>
        <w:t>)</w:t>
      </w:r>
      <w:r>
        <w:rPr/>
        <w:t>三樓會議室</w:t>
      </w:r>
      <w:r>
        <w:rPr>
          <w:rFonts w:ascii="Times New Roman" w:hAnsi="Times New Roman" w:cs="Times New Roman" w:eastAsia="Times New Roman"/>
        </w:rPr>
        <w:t>(C314)</w:t>
      </w:r>
      <w:r>
        <w:rPr>
          <w:rFonts w:ascii="Times New Roman" w:hAnsi="Times New Roman" w:cs="Times New Roman" w:eastAsia="Times New Roman"/>
        </w:rPr>
        <w:t> </w:t>
      </w:r>
      <w:r>
        <w:rPr/>
        <w:t>三、</w:t>
      </w:r>
      <w:r>
        <w:rPr>
          <w:spacing w:val="-66"/>
        </w:rPr>
        <w:t> </w:t>
      </w:r>
      <w:r>
        <w:rPr/>
        <w:t>活動對象：全國大專院校</w:t>
      </w:r>
    </w:p>
    <w:p>
      <w:pPr>
        <w:pStyle w:val="BodyText"/>
        <w:spacing w:line="240" w:lineRule="auto" w:before="58"/>
        <w:ind w:right="0"/>
        <w:jc w:val="left"/>
      </w:pPr>
      <w:r>
        <w:rPr/>
        <w:t>四、</w:t>
      </w:r>
      <w:r>
        <w:rPr>
          <w:spacing w:val="-66"/>
        </w:rPr>
        <w:t> </w:t>
      </w:r>
      <w:r>
        <w:rPr/>
        <w:t>實施時程及講座內容</w:t>
      </w:r>
    </w:p>
    <w:p>
      <w:pPr>
        <w:spacing w:line="240" w:lineRule="auto" w:before="5"/>
        <w:rPr>
          <w:rFonts w:ascii="標楷體" w:hAnsi="標楷體" w:cs="標楷體" w:eastAsia="標楷體"/>
          <w:sz w:val="11"/>
          <w:szCs w:val="11"/>
        </w:rPr>
      </w:pPr>
    </w:p>
    <w:tbl>
      <w:tblPr>
        <w:tblW w:w="0" w:type="auto"/>
        <w:jc w:val="left"/>
        <w:tblInd w:w="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247"/>
        <w:gridCol w:w="3046"/>
        <w:gridCol w:w="3047"/>
      </w:tblGrid>
      <w:tr>
        <w:trPr>
          <w:trHeight w:val="750" w:hRule="exact"/>
        </w:trPr>
        <w:tc>
          <w:tcPr>
            <w:tcW w:w="85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133"/>
              <w:ind w:left="129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日期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24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133"/>
              <w:ind w:left="33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1"/>
                <w:sz w:val="28"/>
                <w:szCs w:val="28"/>
              </w:rPr>
              <w:t>時間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3046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133"/>
              <w:ind w:left="95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活動內容</w:t>
            </w:r>
          </w:p>
        </w:tc>
        <w:tc>
          <w:tcPr>
            <w:tcW w:w="304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40" w:lineRule="auto" w:before="133"/>
              <w:ind w:left="63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主持人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/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主講人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296" w:hRule="exact"/>
        </w:trPr>
        <w:tc>
          <w:tcPr>
            <w:tcW w:w="85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8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105</w:t>
            </w:r>
          </w:p>
        </w:tc>
        <w:tc>
          <w:tcPr>
            <w:tcW w:w="1247" w:type="dxa"/>
            <w:tcBorders>
              <w:top w:val="single" w:sz="13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13:40</w:t>
            </w:r>
          </w:p>
        </w:tc>
        <w:tc>
          <w:tcPr>
            <w:tcW w:w="6093" w:type="dxa"/>
            <w:gridSpan w:val="2"/>
            <w:vMerge w:val="restart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</w:tr>
      <w:tr>
        <w:trPr>
          <w:trHeight w:val="281" w:hRule="exact"/>
        </w:trPr>
        <w:tc>
          <w:tcPr>
            <w:tcW w:w="85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85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14:00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603" w:hRule="exact"/>
        </w:trPr>
        <w:tc>
          <w:tcPr>
            <w:tcW w:w="851" w:type="dxa"/>
            <w:vMerge/>
            <w:tcBorders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14:00</w:t>
            </w:r>
          </w:p>
          <w:p>
            <w:pPr>
              <w:pStyle w:val="TableParagraph"/>
              <w:spacing w:line="240" w:lineRule="auto"/>
              <w:ind w:left="343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 14:10</w:t>
            </w:r>
          </w:p>
        </w:tc>
        <w:tc>
          <w:tcPr>
            <w:tcW w:w="30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開幕</w:t>
            </w:r>
          </w:p>
        </w:tc>
        <w:tc>
          <w:tcPr>
            <w:tcW w:w="30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主持人：萬金生 副校長</w:t>
            </w:r>
          </w:p>
        </w:tc>
      </w:tr>
      <w:tr>
        <w:trPr>
          <w:trHeight w:val="235" w:hRule="exact"/>
        </w:trPr>
        <w:tc>
          <w:tcPr>
            <w:tcW w:w="851" w:type="dxa"/>
            <w:vMerge w:val="restart"/>
            <w:tcBorders>
              <w:top w:val="nil" w:sz="6" w:space="0" w:color="auto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right="8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年</w:t>
            </w:r>
          </w:p>
        </w:tc>
        <w:tc>
          <w:tcPr>
            <w:tcW w:w="12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7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25" w:hRule="exact"/>
        </w:trPr>
        <w:tc>
          <w:tcPr>
            <w:tcW w:w="851" w:type="dxa"/>
            <w:vMerge/>
            <w:tcBorders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14:10</w:t>
            </w:r>
          </w:p>
          <w:p>
            <w:pPr>
              <w:pStyle w:val="TableParagraph"/>
              <w:spacing w:line="240" w:lineRule="auto"/>
              <w:ind w:left="343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 15:40</w:t>
            </w:r>
          </w:p>
        </w:tc>
        <w:tc>
          <w:tcPr>
            <w:tcW w:w="30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17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教學實務升等經驗分享</w:t>
            </w:r>
          </w:p>
        </w:tc>
        <w:tc>
          <w:tcPr>
            <w:tcW w:w="30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auto" w:before="40"/>
              <w:ind w:left="136" w:right="126" w:firstLine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主講人：楊雪蘭 教授 南臺科技大學 企業管理系</w:t>
            </w:r>
          </w:p>
        </w:tc>
      </w:tr>
      <w:tr>
        <w:trPr>
          <w:trHeight w:val="360" w:hRule="exact"/>
        </w:trPr>
        <w:tc>
          <w:tcPr>
            <w:tcW w:w="8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5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2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7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52" w:hRule="exact"/>
        </w:trPr>
        <w:tc>
          <w:tcPr>
            <w:tcW w:w="8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right="8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月</w:t>
            </w:r>
          </w:p>
        </w:tc>
        <w:tc>
          <w:tcPr>
            <w:tcW w:w="12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47" w:type="dxa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368" w:hRule="exact"/>
        </w:trPr>
        <w:tc>
          <w:tcPr>
            <w:tcW w:w="851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3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3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15:40</w:t>
            </w:r>
          </w:p>
        </w:tc>
        <w:tc>
          <w:tcPr>
            <w:tcW w:w="60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</w:t>
            </w:r>
          </w:p>
        </w:tc>
      </w:tr>
      <w:tr>
        <w:trPr>
          <w:trHeight w:val="200" w:hRule="exact"/>
        </w:trPr>
        <w:tc>
          <w:tcPr>
            <w:tcW w:w="851" w:type="dxa"/>
            <w:vMerge w:val="restart"/>
            <w:tcBorders>
              <w:top w:val="nil" w:sz="6" w:space="0" w:color="auto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93" w:lineRule="exact"/>
              <w:ind w:right="8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日</w:t>
            </w:r>
          </w:p>
        </w:tc>
        <w:tc>
          <w:tcPr>
            <w:tcW w:w="12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18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53" w:hRule="exact"/>
        </w:trPr>
        <w:tc>
          <w:tcPr>
            <w:tcW w:w="851" w:type="dxa"/>
            <w:vMerge/>
            <w:tcBorders>
              <w:left w:val="single" w:sz="12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15:50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118" w:hRule="exact"/>
        </w:trPr>
        <w:tc>
          <w:tcPr>
            <w:tcW w:w="851" w:type="dxa"/>
            <w:vMerge w:val="restart"/>
            <w:tcBorders>
              <w:top w:val="nil" w:sz="6" w:space="0" w:color="auto"/>
              <w:left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305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  <w:tc>
          <w:tcPr>
            <w:tcW w:w="12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85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15:50</w:t>
            </w:r>
          </w:p>
          <w:p>
            <w:pPr>
              <w:pStyle w:val="TableParagraph"/>
              <w:spacing w:line="240" w:lineRule="auto"/>
              <w:ind w:left="343" w:right="3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 17:20</w:t>
            </w:r>
          </w:p>
        </w:tc>
        <w:tc>
          <w:tcPr>
            <w:tcW w:w="3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38"/>
              <w:ind w:left="1037" w:right="315" w:hanging="72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教學實務成果報告準備 心得分享</w:t>
            </w:r>
          </w:p>
        </w:tc>
        <w:tc>
          <w:tcPr>
            <w:tcW w:w="3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75" w:lineRule="auto" w:before="38"/>
              <w:ind w:left="376" w:right="186" w:hanging="18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主講人： 李之中 副教授 中華大學 資訊管理系</w:t>
            </w:r>
          </w:p>
        </w:tc>
      </w:tr>
      <w:tr>
        <w:trPr>
          <w:trHeight w:val="286" w:hRule="exact"/>
        </w:trPr>
        <w:tc>
          <w:tcPr>
            <w:tcW w:w="85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17:20</w:t>
            </w:r>
          </w:p>
        </w:tc>
        <w:tc>
          <w:tcPr>
            <w:tcW w:w="60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綜合座談</w:t>
            </w:r>
          </w:p>
        </w:tc>
      </w:tr>
      <w:tr>
        <w:trPr>
          <w:trHeight w:val="281" w:hRule="exact"/>
        </w:trPr>
        <w:tc>
          <w:tcPr>
            <w:tcW w:w="851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68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~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17:40</w:t>
            </w:r>
          </w:p>
        </w:tc>
        <w:tc>
          <w:tcPr>
            <w:tcW w:w="6093" w:type="dxa"/>
            <w:gridSpan w:val="2"/>
            <w:vMerge/>
            <w:tcBorders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1910" w:h="16840"/>
          <w:pgMar w:footer="713" w:top="1520" w:bottom="900" w:left="1640" w:right="1680"/>
          <w:pgNumType w:start="1"/>
        </w:sectPr>
      </w:pPr>
    </w:p>
    <w:p>
      <w:pPr>
        <w:pStyle w:val="Heading1"/>
        <w:spacing w:line="364" w:lineRule="exact"/>
        <w:ind w:left="2972" w:right="0"/>
        <w:jc w:val="left"/>
        <w:rPr>
          <w:b w:val="0"/>
          <w:bCs w:val="0"/>
        </w:rPr>
      </w:pPr>
      <w:r>
        <w:rPr/>
        <w:pict>
          <v:group style="position:absolute;margin-left:96.650002pt;margin-top:508.249969pt;width:411.85pt;height:183.2pt;mso-position-horizontal-relative:page;mso-position-vertical-relative:page;z-index:-9088" coordorigin="1933,10165" coordsize="8237,3664">
            <v:shape style="position:absolute;left:1933;top:10165;width:8237;height:3664" type="#_x0000_t75" stroked="false">
              <v:imagedata r:id="rId6" o:title=""/>
            </v:shape>
            <v:group style="position:absolute;left:9054;top:10714;width:523;height:475" coordorigin="9054,10714" coordsize="523,475">
              <v:shape style="position:absolute;left:9054;top:10714;width:523;height:475" coordorigin="9054,10714" coordsize="523,475" path="m9315,10714l9244,10723,9181,10748,9127,10786,9086,10835,9061,10894,9054,10936,9054,10960,9069,11026,9100,11084,9144,11130,9200,11164,9264,11184,9310,11189,9335,11188,9405,11174,9466,11145,9516,11103,9553,11052,9573,10992,9576,10970,9575,10946,9561,10879,9531,10821,9487,10774,9433,10740,9369,10719,9315,10714xe" filled="true" fillcolor="#ffffff" stroked="false">
                <v:path arrowok="t"/>
                <v:fill type="solid"/>
              </v:shape>
              <v:shape style="position:absolute;left:9053;top:10714;width:524;height:475" type="#_x0000_t75" stroked="false">
                <v:imagedata r:id="rId7" o:title=""/>
              </v:shape>
            </v:group>
            <w10:wrap type="none"/>
          </v:group>
        </w:pict>
      </w:r>
      <w:r>
        <w:rPr/>
        <w:t>台灣首府大學交通資訊</w:t>
      </w:r>
      <w:r>
        <w:rPr>
          <w:b w:val="0"/>
          <w:bCs w:val="0"/>
        </w:rPr>
      </w:r>
    </w:p>
    <w:p>
      <w:pPr>
        <w:spacing w:line="240" w:lineRule="auto" w:before="2"/>
        <w:rPr>
          <w:rFonts w:ascii="標楷體" w:hAnsi="標楷體" w:cs="標楷體" w:eastAsia="標楷體"/>
          <w:b/>
          <w:bCs/>
          <w:sz w:val="3"/>
          <w:szCs w:val="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1"/>
      </w:tblGrid>
      <w:tr>
        <w:trPr>
          <w:trHeight w:val="322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地址：台南市麻豆區南勢里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168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</w:t>
            </w:r>
          </w:p>
        </w:tc>
      </w:tr>
      <w:tr>
        <w:trPr>
          <w:trHeight w:val="322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line="278" w:lineRule="exact"/>
              <w:ind w:left="10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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ab/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交通方式</w:t>
            </w:r>
          </w:p>
        </w:tc>
      </w:tr>
      <w:tr>
        <w:trPr>
          <w:trHeight w:val="6219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7" w:lineRule="exact"/>
              <w:ind w:left="34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7"/>
                <w:sz w:val="24"/>
                <w:szCs w:val="24"/>
              </w:rPr>
              <w:t>.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自行開車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12" w:lineRule="exact" w:before="13"/>
              <w:ind w:left="1062" w:right="52" w:hanging="4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國道一號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中山高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299K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轉下營系統交流道，再接台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84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線往玉井方向，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下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17K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下營交流道至本校約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建議路線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  <w:p>
            <w:pPr>
              <w:pStyle w:val="TableParagraph"/>
              <w:tabs>
                <w:tab w:pos="1062" w:val="left" w:leader="none"/>
              </w:tabs>
              <w:spacing w:line="298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</w:t>
              <w:tab/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國道一號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中山高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303K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麻豆交流道下來，往麻豆市區方向，第一個叉</w:t>
            </w:r>
          </w:p>
          <w:p>
            <w:pPr>
              <w:pStyle w:val="TableParagraph"/>
              <w:spacing w:line="237" w:lineRule="auto"/>
              <w:ind w:left="1062" w:right="102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pacing w:val="-3"/>
                <w:sz w:val="24"/>
                <w:szCs w:val="24"/>
              </w:rPr>
              <w:t>路左轉，沿縣道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176 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號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新生北路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2"/>
                <w:sz w:val="24"/>
                <w:szCs w:val="24"/>
              </w:rPr>
              <w:t>繞市區外環，過麻豆代天府右轉，直走</w:t>
            </w:r>
            <w:r>
              <w:rPr>
                <w:rFonts w:ascii="標楷體" w:hAnsi="標楷體" w:cs="標楷體" w:eastAsia="標楷體"/>
                <w:spacing w:val="2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2"/>
                <w:sz w:val="24"/>
                <w:szCs w:val="24"/>
              </w:rPr>
              <w:t>至右邊可見台糖加油站後，第二個紅綠燈左轉，即到本校，下交流道至</w:t>
            </w:r>
            <w:r>
              <w:rPr>
                <w:rFonts w:ascii="標楷體" w:hAnsi="標楷體" w:cs="標楷體" w:eastAsia="標楷體"/>
                <w:spacing w:val="48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沿途皆有指標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。</w:t>
            </w:r>
          </w:p>
          <w:p>
            <w:pPr>
              <w:pStyle w:val="TableParagraph"/>
              <w:spacing w:line="236" w:lineRule="auto"/>
              <w:ind w:left="1062" w:right="46" w:hanging="48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3.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國道一號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中山高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303K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麻豆交流道下來，往麻豆市區方向，直行穿越</w:t>
            </w:r>
            <w:r>
              <w:rPr>
                <w:rFonts w:ascii="標楷體" w:hAnsi="標楷體" w:cs="標楷體" w:eastAsia="標楷體"/>
                <w:spacing w:val="2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麻豆市區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中山路、興中路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，行經</w:t>
            </w:r>
            <w:r>
              <w:rPr>
                <w:rFonts w:ascii="標楷體" w:hAnsi="標楷體" w:cs="標楷體" w:eastAsia="標楷體"/>
                <w:spacing w:val="-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7-11</w:t>
            </w:r>
            <w:r>
              <w:rPr>
                <w:rFonts w:ascii="Times New Roman" w:hAnsi="Times New Roman" w:cs="Times New Roman" w:eastAsia="Times New Roman"/>
                <w:spacing w:val="13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便利商店後，見</w:t>
            </w:r>
            <w:r>
              <w:rPr>
                <w:rFonts w:ascii="標楷體" w:hAnsi="標楷體" w:cs="標楷體" w:eastAsia="標楷體"/>
                <w:spacing w:val="-4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字型叉路再轉</w:t>
            </w:r>
            <w:r>
              <w:rPr>
                <w:rFonts w:ascii="標楷體" w:hAnsi="標楷體" w:cs="標楷體" w:eastAsia="標楷體"/>
                <w:spacing w:val="2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往左前方，經過麻豆區公所、曾文農工，直走至右邊可見台糖加油站後，</w:t>
            </w:r>
            <w:r>
              <w:rPr>
                <w:rFonts w:ascii="標楷體" w:hAnsi="標楷體" w:cs="標楷體" w:eastAsia="標楷體"/>
                <w:spacing w:val="6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第二個紅綠燈左轉，即到本校，下交流道至本校約</w:t>
            </w:r>
            <w:r>
              <w:rPr>
                <w:rFonts w:ascii="標楷體" w:hAnsi="標楷體" w:cs="標楷體" w:eastAsia="標楷體"/>
                <w:spacing w:val="-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spacing w:val="1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沿途皆有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指標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。</w:t>
            </w:r>
          </w:p>
          <w:p>
            <w:pPr>
              <w:pStyle w:val="TableParagraph"/>
              <w:spacing w:line="312" w:lineRule="exact" w:before="11"/>
              <w:ind w:left="1062" w:right="100" w:hanging="48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4.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國道三號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南二高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334k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轉官田系統交流道，再接台</w:t>
            </w:r>
            <w:r>
              <w:rPr>
                <w:rFonts w:ascii="標楷體" w:hAnsi="標楷體" w:cs="標楷體" w:eastAsia="標楷體"/>
                <w:spacing w:val="-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線往下營北門方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向，下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17K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下營交流道至本校約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建議路線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  <w:p>
            <w:pPr>
              <w:pStyle w:val="TableParagraph"/>
              <w:tabs>
                <w:tab w:pos="1062" w:val="left" w:leader="none"/>
              </w:tabs>
              <w:spacing w:line="298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5.</w:t>
              <w:tab/>
            </w:r>
            <w:r>
              <w:rPr>
                <w:rFonts w:ascii="標楷體" w:hAnsi="標楷體" w:cs="標楷體" w:eastAsia="標楷體"/>
                <w:spacing w:val="1"/>
                <w:sz w:val="24"/>
                <w:szCs w:val="24"/>
              </w:rPr>
              <w:t>國道三號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pacing w:val="1"/>
                <w:sz w:val="24"/>
                <w:szCs w:val="24"/>
              </w:rPr>
              <w:t>南二高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334k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"/>
                <w:sz w:val="24"/>
                <w:szCs w:val="24"/>
              </w:rPr>
              <w:t>官田玉井交流道下來，往隆田方向，再接縣道</w:t>
            </w:r>
          </w:p>
          <w:p>
            <w:pPr>
              <w:pStyle w:val="TableParagraph"/>
              <w:spacing w:line="312" w:lineRule="exact"/>
              <w:ind w:left="1062" w:right="0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176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號往麻豆方向，依指標蒞臨本校。下交流道至本校約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分鐘時程。</w:t>
            </w:r>
          </w:p>
          <w:p>
            <w:pPr>
              <w:pStyle w:val="TableParagraph"/>
              <w:tabs>
                <w:tab w:pos="1062" w:val="left" w:leader="none"/>
              </w:tabs>
              <w:spacing w:line="312" w:lineRule="exact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6.</w:t>
              <w:tab/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國道三號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南二高</w:t>
            </w:r>
            <w:r>
              <w:rPr>
                <w:rFonts w:ascii="Times New Roman" w:hAnsi="Times New Roman" w:cs="Times New Roman" w:eastAsia="Times New Roman"/>
                <w:spacing w:val="-29"/>
                <w:sz w:val="24"/>
                <w:szCs w:val="24"/>
              </w:rPr>
              <w:t>)</w:t>
            </w:r>
            <w:r>
              <w:rPr>
                <w:rFonts w:ascii="標楷體" w:hAnsi="標楷體" w:cs="標楷體" w:eastAsia="標楷體"/>
                <w:spacing w:val="-29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9k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烏山頭交流道下來接縣道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171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直</w:t>
            </w:r>
            <w:r>
              <w:rPr>
                <w:rFonts w:ascii="標楷體" w:hAnsi="標楷體" w:cs="標楷體" w:eastAsia="標楷體"/>
                <w:spacing w:val="-29"/>
                <w:sz w:val="24"/>
                <w:szCs w:val="24"/>
              </w:rPr>
              <w:t>走，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至成功路右</w:t>
            </w:r>
          </w:p>
          <w:p>
            <w:pPr>
              <w:pStyle w:val="TableParagraph"/>
              <w:spacing w:line="314" w:lineRule="exact" w:before="12"/>
              <w:ind w:left="1062" w:right="101"/>
              <w:jc w:val="both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轉接縣道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176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號往麻豆方向，依指標蒞臨本校。下交流道至本校約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  <w:r>
              <w:rPr>
                <w:rFonts w:ascii="標楷體" w:hAnsi="標楷體" w:cs="標楷體" w:eastAsia="標楷體"/>
                <w:spacing w:val="24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鐘時程。</w:t>
            </w:r>
          </w:p>
        </w:tc>
      </w:tr>
      <w:tr>
        <w:trPr>
          <w:trHeight w:val="6543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 w:before="200"/>
              <w:ind w:left="34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公車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12" w:lineRule="exact" w:before="13"/>
              <w:ind w:left="582" w:right="101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大台南公車橘幹線</w:t>
            </w:r>
            <w:r>
              <w:rPr>
                <w:rFonts w:ascii="標楷體" w:hAnsi="標楷體" w:cs="標楷體" w:eastAsia="標楷體"/>
                <w:spacing w:val="-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2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號與黃幹線</w:t>
            </w:r>
            <w:r>
              <w:rPr>
                <w:rFonts w:ascii="標楷體" w:hAnsi="標楷體" w:cs="標楷體" w:eastAsia="標楷體"/>
                <w:spacing w:val="-3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2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號路線經過本校。時刻表及路線圖張貼</w:t>
            </w:r>
            <w:r>
              <w:rPr>
                <w:rFonts w:ascii="標楷體" w:hAnsi="標楷體" w:cs="標楷體" w:eastAsia="標楷體"/>
                <w:spacing w:val="3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於服務臺或可上大台南公車資訊網頁查詢。</w:t>
            </w:r>
          </w:p>
          <w:p>
            <w:pPr>
              <w:pStyle w:val="TableParagraph"/>
              <w:spacing w:line="303" w:lineRule="exact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 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橘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</w:p>
        </w:tc>
      </w:tr>
    </w:tbl>
    <w:p>
      <w:pPr>
        <w:spacing w:after="0" w:line="303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0" w:footer="713" w:top="1380" w:bottom="920" w:left="1580" w:right="13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90pt;margin-top:101.899986pt;width:425.15pt;height:177.4pt;mso-position-horizontal-relative:page;mso-position-vertical-relative:page;z-index:-9064" coordorigin="1800,2038" coordsize="8503,3548">
            <v:shape style="position:absolute;left:1800;top:2038;width:8503;height:3548" type="#_x0000_t75" stroked="false">
              <v:imagedata r:id="rId8" o:title=""/>
            </v:shape>
            <v:group style="position:absolute;left:6061;top:2946;width:523;height:475" coordorigin="6061,2946" coordsize="523,475">
              <v:shape style="position:absolute;left:6061;top:2946;width:523;height:475" coordorigin="6061,2946" coordsize="523,475" path="m6322,2946l6251,2955,6188,2980,6134,3018,6093,3067,6068,3126,6061,3168,6061,3192,6076,3258,6107,3316,6151,3362,6207,3396,6271,3416,6317,3421,6342,3420,6412,3406,6473,3377,6523,3335,6560,3284,6580,3224,6583,3202,6582,3178,6568,3111,6538,3053,6494,3006,6440,2972,6376,2951,6322,2946xe" filled="true" fillcolor="#ffffff" stroked="false">
                <v:path arrowok="t"/>
                <v:fill type="solid"/>
              </v:shape>
              <v:shape style="position:absolute;left:6060;top:2946;width:524;height:475" type="#_x0000_t75" stroked="false">
                <v:imagedata r:id="rId7" o:title=""/>
              </v:shape>
            </v:group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1"/>
      </w:tblGrid>
      <w:tr>
        <w:trPr>
          <w:trHeight w:val="4536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 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黃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</w:t>
            </w:r>
          </w:p>
        </w:tc>
      </w:tr>
      <w:tr>
        <w:trPr>
          <w:trHeight w:val="1463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5" w:lineRule="exact" w:before="200"/>
              <w:ind w:left="34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客運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313" w:lineRule="exact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 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和欣客運：麻豆交流道下有和欣客運麻豆站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計程車至本校約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  <w:p>
            <w:pPr>
              <w:pStyle w:val="TableParagraph"/>
              <w:spacing w:line="316" w:lineRule="exact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  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統聯客運：麻豆交流道下有統聯客運麻豆站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(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計程車至本校約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)</w:t>
            </w:r>
          </w:p>
        </w:tc>
      </w:tr>
      <w:tr>
        <w:trPr>
          <w:trHeight w:val="1919" w:hRule="exact"/>
        </w:trPr>
        <w:tc>
          <w:tcPr>
            <w:tcW w:w="8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0"/>
              <w:ind w:left="34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火車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8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1.   </w:t>
            </w:r>
            <w:r>
              <w:rPr>
                <w:rFonts w:ascii="標楷體" w:hAnsi="標楷體" w:cs="標楷體" w:eastAsia="標楷體"/>
                <w:spacing w:val="-4"/>
                <w:sz w:val="24"/>
                <w:szCs w:val="24"/>
              </w:rPr>
              <w:t>乘車至隆田火車站下車，再搭計程車蒞臨本校，搭計程車約</w:t>
            </w:r>
            <w:r>
              <w:rPr>
                <w:rFonts w:ascii="標楷體" w:hAnsi="標楷體" w:cs="標楷體" w:eastAsia="標楷體"/>
                <w:spacing w:val="-5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1"/>
                <w:sz w:val="24"/>
                <w:szCs w:val="24"/>
              </w:rPr>
              <w:t>分鐘時程。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2"/>
              <w:ind w:left="58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2. </w:t>
            </w:r>
            <w:r>
              <w:rPr>
                <w:rFonts w:ascii="Times New Roman" w:hAnsi="Times New Roman" w:cs="Times New Roman" w:eastAsia="Times New Roman"/>
                <w:spacing w:val="60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乘車至新營火車站下車，再至對面新營客運總站內，搭乘大台南公車往麻</w:t>
            </w:r>
          </w:p>
          <w:p>
            <w:pPr>
              <w:pStyle w:val="TableParagraph"/>
              <w:spacing w:line="240" w:lineRule="auto" w:before="42"/>
              <w:ind w:left="942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豆，經本校下車，搭大台南公車約</w:t>
            </w:r>
            <w:r>
              <w:rPr>
                <w:rFonts w:ascii="標楷體" w:hAnsi="標楷體" w:cs="標楷體" w:eastAsia="標楷體"/>
                <w:spacing w:val="-6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35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分鐘時程。</w:t>
            </w:r>
          </w:p>
        </w:tc>
      </w:tr>
    </w:tbl>
    <w:p>
      <w:pPr>
        <w:spacing w:after="0" w:line="240" w:lineRule="auto"/>
        <w:jc w:val="left"/>
        <w:rPr>
          <w:rFonts w:ascii="標楷體" w:hAnsi="標楷體" w:cs="標楷體" w:eastAsia="標楷體"/>
          <w:sz w:val="24"/>
          <w:szCs w:val="24"/>
        </w:rPr>
        <w:sectPr>
          <w:pgSz w:w="11910" w:h="16840"/>
          <w:pgMar w:header="0" w:footer="713" w:top="1340" w:bottom="900" w:left="1580" w:right="1380"/>
        </w:sectPr>
      </w:pPr>
    </w:p>
    <w:p>
      <w:pPr>
        <w:spacing w:line="356" w:lineRule="exact" w:before="0"/>
        <w:ind w:left="0" w:right="0" w:firstLine="0"/>
        <w:jc w:val="center"/>
        <w:rPr>
          <w:rFonts w:ascii="標楷體" w:hAnsi="標楷體" w:cs="標楷體" w:eastAsia="標楷體"/>
          <w:sz w:val="28"/>
          <w:szCs w:val="28"/>
        </w:rPr>
      </w:pPr>
      <w:r>
        <w:rPr/>
        <w:pict>
          <v:group style="position:absolute;margin-left:74.800003pt;margin-top:54.500008pt;width:692.15pt;height:489.4pt;mso-position-horizontal-relative:page;mso-position-vertical-relative:page;z-index:-9040" coordorigin="1496,1090" coordsize="13843,9788">
            <v:shape style="position:absolute;left:1496;top:1090;width:13843;height:9788" type="#_x0000_t75" stroked="false">
              <v:imagedata r:id="rId10" o:title=""/>
            </v:shape>
            <v:group style="position:absolute;left:9561;top:4019;width:938;height:652" coordorigin="9561,4019" coordsize="938,652">
              <v:shape style="position:absolute;left:9561;top:4019;width:938;height:652" coordorigin="9561,4019" coordsize="938,652" path="m10030,4019l9954,4023,9882,4033,9814,4049,9753,4071,9698,4099,9631,4148,9585,4205,9563,4269,9561,4291,9562,4310,9587,4380,9626,4429,9681,4472,9703,4485,9600,4671,9870,4546,10189,4546,10213,4541,10277,4521,10335,4497,10409,4451,10462,4396,10493,4334,10499,4290,10497,4268,10475,4205,10429,4147,10362,4099,10307,4071,10246,4049,10178,4033,10106,4023,10068,4020,10030,4019xe" filled="true" fillcolor="#808080" stroked="false">
                <v:path arrowok="t"/>
                <v:fill type="solid"/>
              </v:shape>
              <v:shape style="position:absolute;left:9561;top:4019;width:938;height:652" coordorigin="9561,4019" coordsize="938,652" path="m10189,4546l9870,4546,9890,4550,9969,4560,10030,4562,10068,4561,10106,4558,10143,4554,10178,4548,10189,4546xe" filled="true" fillcolor="#808080" stroked="false">
                <v:path arrowok="t"/>
                <v:fill type="solid"/>
              </v:shape>
            </v:group>
            <v:group style="position:absolute;left:9441;top:3899;width:938;height:652" coordorigin="9441,3899" coordsize="938,652">
              <v:shape style="position:absolute;left:9441;top:3899;width:938;height:652" coordorigin="9441,3899" coordsize="938,652" path="m9910,3899l9834,3903,9762,3913,9694,3929,9633,3951,9578,3979,9511,4028,9465,4085,9443,4149,9441,4171,9442,4190,9467,4260,9506,4309,9561,4352,9583,4365,9480,4551,9750,4426,10069,4426,10093,4421,10157,4401,10215,4377,10289,4331,10342,4276,10373,4214,10379,4170,10377,4148,10355,4085,10309,4027,10242,3979,10187,3951,10126,3929,10058,3913,9986,3903,9948,3900,9910,3899xe" filled="true" fillcolor="#ffff00" stroked="false">
                <v:path arrowok="t"/>
                <v:fill type="solid"/>
              </v:shape>
              <v:shape style="position:absolute;left:9441;top:3899;width:938;height:652" coordorigin="9441,3899" coordsize="938,652" path="m10069,4426l9750,4426,9770,4430,9849,4440,9910,4442,9948,4441,9986,4438,10023,4434,10058,4428,10069,4426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標楷體" w:hAnsi="標楷體" w:cs="標楷體" w:eastAsia="標楷體"/>
          <w:b/>
          <w:bCs/>
          <w:sz w:val="28"/>
          <w:szCs w:val="28"/>
        </w:rPr>
        <w:t>台灣首府大學校園平面導覽圖</w:t>
      </w:r>
      <w:r>
        <w:rPr>
          <w:rFonts w:ascii="標楷體" w:hAnsi="標楷體" w:cs="標楷體" w:eastAsia="標楷體"/>
          <w:sz w:val="28"/>
          <w:szCs w:val="28"/>
        </w:rPr>
      </w: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標楷體" w:hAnsi="標楷體" w:cs="標楷體" w:eastAsia="標楷體"/>
          <w:b/>
          <w:bCs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b/>
          <w:bCs/>
          <w:sz w:val="25"/>
          <w:szCs w:val="25"/>
        </w:rPr>
      </w:pPr>
    </w:p>
    <w:p>
      <w:pPr>
        <w:pStyle w:val="BodyText"/>
        <w:spacing w:line="240" w:lineRule="auto"/>
        <w:ind w:left="6969" w:right="4025"/>
        <w:jc w:val="center"/>
        <w:rPr>
          <w:rFonts w:ascii="華康海報體W12" w:hAnsi="華康海報體W12" w:cs="華康海報體W12" w:eastAsia="華康海報體W12"/>
        </w:rPr>
      </w:pPr>
      <w:r>
        <w:rPr>
          <w:rFonts w:ascii="華康海報體W12" w:hAnsi="華康海報體W12" w:cs="華康海報體W12" w:eastAsia="華康海報體W12"/>
          <w:color w:val="FF0000"/>
        </w:rPr>
        <w:t>C</w:t>
      </w:r>
      <w:r>
        <w:rPr>
          <w:rFonts w:ascii="Times New Roman" w:hAnsi="Times New Roman" w:cs="Times New Roman" w:eastAsia="Times New Roman"/>
          <w:color w:val="FF0000"/>
        </w:rPr>
        <w:t>   </w:t>
      </w:r>
      <w:r>
        <w:rPr>
          <w:rFonts w:ascii="華康海報體W12" w:hAnsi="華康海報體W12" w:cs="華康海報體W12" w:eastAsia="華康海報體W12"/>
          <w:color w:val="FF0000"/>
        </w:rPr>
        <w:t>棟</w:t>
      </w:r>
      <w:r>
        <w:rPr>
          <w:rFonts w:ascii="華康海報體W12" w:hAnsi="華康海報體W12" w:cs="華康海報體W12" w:eastAsia="華康海報體W12"/>
        </w:rPr>
      </w: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0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line="240" w:lineRule="auto" w:before="4"/>
        <w:rPr>
          <w:rFonts w:ascii="華康海報體W12" w:hAnsi="華康海報體W12" w:cs="華康海報體W12" w:eastAsia="華康海報體W12"/>
          <w:sz w:val="20"/>
          <w:szCs w:val="20"/>
        </w:rPr>
      </w:pPr>
    </w:p>
    <w:p>
      <w:pPr>
        <w:spacing w:before="74"/>
        <w:ind w:left="5217" w:right="5217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4</w:t>
      </w:r>
    </w:p>
    <w:sectPr>
      <w:footerReference w:type="default" r:id="rId9"/>
      <w:pgSz w:w="16840" w:h="11910" w:orient="landscape"/>
      <w:pgMar w:footer="0" w:header="0" w:top="680" w:bottom="280" w:left="13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Wingdings">
    <w:altName w:val="Wingdings"/>
    <w:charset w:val="2"/>
    <w:family w:val="auto"/>
    <w:pitch w:val="variable"/>
  </w:font>
  <w:font w:name="華康海報體W12">
    <w:altName w:val="華康海報體W12"/>
    <w:charset w:val="88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179993pt;margin-top:794.277161pt;width:9.050pt;height:12.05pt;mso-position-horizontal-relative:page;mso-position-vertical-relative:page;z-index:-9088" type="#_x0000_t202" filled="false" stroked="false">
          <v:textbox inset="0,0,0,0">
            <w:txbxContent>
              <w:p>
                <w:pPr>
                  <w:spacing w:line="22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6"/>
      <w:ind w:left="106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亞鵬旅遊</dc:creator>
  <dc:title>AOK Int’l Travel Service Inc</dc:title>
  <dcterms:created xsi:type="dcterms:W3CDTF">2016-03-29T10:31:38Z</dcterms:created>
  <dcterms:modified xsi:type="dcterms:W3CDTF">2016-03-29T10:31:38Z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2016-03-29T00:00:00Z</vt:filetime>
  </property>
</Properties>
</file>