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09" w:lineRule="exact"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2016</w:t>
      </w:r>
      <w:r>
        <w:rPr>
          <w:rFonts w:ascii="Times New Roman" w:hAnsi="Times New Roman" w:cs="Times New Roman" w:eastAsia="Times New Roman"/>
          <w:spacing w:val="-48"/>
        </w:rPr>
        <w:t> </w:t>
      </w:r>
      <w:r>
        <w:rPr/>
        <w:t>翻轉數位學習工作坊計畫書</w:t>
      </w:r>
      <w:r>
        <w:rPr>
          <w:b w:val="0"/>
          <w:bCs w:val="0"/>
        </w:rPr>
      </w:r>
    </w:p>
    <w:p>
      <w:pPr>
        <w:spacing w:line="240" w:lineRule="auto" w:before="8"/>
        <w:rPr>
          <w:rFonts w:ascii="標楷體" w:hAnsi="標楷體" w:cs="標楷體" w:eastAsia="標楷體"/>
          <w:b/>
          <w:bCs/>
          <w:sz w:val="22"/>
          <w:szCs w:val="22"/>
        </w:rPr>
      </w:pPr>
    </w:p>
    <w:p>
      <w:pPr>
        <w:spacing w:before="0"/>
        <w:ind w:left="0" w:right="0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MOOCs</w:t>
      </w:r>
      <w:r>
        <w:rPr>
          <w:rFonts w:ascii="Times New Roman" w:hAnsi="Times New Roman" w:cs="Times New Roman" w:eastAsia="Times New Roman"/>
          <w:b/>
          <w:bCs/>
          <w:spacing w:val="51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與行動學習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pStyle w:val="Heading2"/>
        <w:spacing w:line="240" w:lineRule="auto" w:before="164"/>
        <w:ind w:right="0"/>
        <w:jc w:val="left"/>
      </w:pPr>
      <w:r>
        <w:rPr/>
        <w:t>一、會議緣起</w:t>
      </w:r>
    </w:p>
    <w:p>
      <w:pPr>
        <w:spacing w:line="240" w:lineRule="auto" w:before="7"/>
        <w:rPr>
          <w:rFonts w:ascii="標楷體" w:hAnsi="標楷體" w:cs="標楷體" w:eastAsia="標楷體"/>
          <w:sz w:val="35"/>
          <w:szCs w:val="35"/>
        </w:rPr>
      </w:pPr>
    </w:p>
    <w:p>
      <w:pPr>
        <w:pStyle w:val="BodyText"/>
        <w:spacing w:line="253" w:lineRule="auto" w:before="0"/>
        <w:ind w:right="105" w:firstLine="520"/>
        <w:jc w:val="left"/>
      </w:pPr>
      <w:r>
        <w:rPr>
          <w:w w:val="95"/>
        </w:rPr>
        <w:t>數位學習自二十一世紀盛行，打破了傳統教室上課的侷限，使主動學</w:t>
      </w:r>
      <w:r>
        <w:rPr>
          <w:spacing w:val="22"/>
          <w:w w:val="99"/>
        </w:rPr>
        <w:t> </w:t>
      </w:r>
      <w:r>
        <w:rPr>
          <w:w w:val="95"/>
        </w:rPr>
        <w:t>習者與上班族可以不受地域與時間限制，藉由網路線上學習，滿足知識與</w:t>
      </w:r>
      <w:r>
        <w:rPr>
          <w:spacing w:val="24"/>
          <w:w w:val="99"/>
        </w:rPr>
        <w:t> </w:t>
      </w:r>
      <w:r>
        <w:rPr>
          <w:w w:val="95"/>
        </w:rPr>
        <w:t>學位的追求。數位學習以學習者為中心，不斷變革，多樣性與多種模式，</w:t>
      </w:r>
      <w:r>
        <w:rPr>
          <w:spacing w:val="40"/>
          <w:w w:val="99"/>
        </w:rPr>
        <w:t> </w:t>
      </w:r>
      <w:r>
        <w:rPr>
          <w:w w:val="95"/>
        </w:rPr>
        <w:t>提供教師與學習者調變使用。</w:t>
      </w:r>
      <w:r>
        <w:rPr>
          <w:rFonts w:ascii="Times New Roman" w:hAnsi="Times New Roman" w:cs="Times New Roman" w:eastAsia="Times New Roman"/>
          <w:w w:val="95"/>
        </w:rPr>
        <w:t>MOOCs     </w:t>
      </w:r>
      <w:r>
        <w:rPr>
          <w:rFonts w:ascii="Times New Roman" w:hAnsi="Times New Roman" w:cs="Times New Roman" w:eastAsia="Times New Roman"/>
          <w:spacing w:val="19"/>
          <w:w w:val="95"/>
        </w:rPr>
        <w:t> </w:t>
      </w:r>
      <w:r>
        <w:rPr>
          <w:w w:val="95"/>
        </w:rPr>
        <w:t>在近年崛起，風迷全球，是開放大</w:t>
      </w:r>
      <w:r>
        <w:rPr>
          <w:spacing w:val="40"/>
          <w:w w:val="99"/>
        </w:rPr>
        <w:t> </w:t>
      </w:r>
      <w:r>
        <w:rPr/>
        <w:t>眾線上課程，也是新世代數位學習的進化版。</w:t>
      </w:r>
      <w:r>
        <w:rPr/>
      </w:r>
    </w:p>
    <w:p>
      <w:pPr>
        <w:spacing w:line="240" w:lineRule="auto" w:before="11"/>
        <w:rPr>
          <w:rFonts w:ascii="標楷體" w:hAnsi="標楷體" w:cs="標楷體" w:eastAsia="標楷體"/>
          <w:sz w:val="21"/>
          <w:szCs w:val="21"/>
        </w:rPr>
      </w:pPr>
    </w:p>
    <w:p>
      <w:pPr>
        <w:pStyle w:val="BodyText"/>
        <w:spacing w:line="252" w:lineRule="auto" w:before="0"/>
        <w:ind w:right="118" w:firstLine="520"/>
        <w:jc w:val="left"/>
      </w:pP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</w:rPr>
        <w:t>er</w:t>
      </w:r>
      <w:r>
        <w:rPr>
          <w:rFonts w:ascii="Times New Roman" w:hAnsi="Times New Roman" w:cs="Times New Roman" w:eastAsia="Times New Roman"/>
          <w:spacing w:val="-38"/>
        </w:rPr>
        <w:t>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</w:rPr>
        <w:t>app</w:t>
      </w:r>
      <w:r>
        <w:rPr>
          <w:rFonts w:ascii="Times New Roman" w:hAnsi="Times New Roman" w:cs="Times New Roman" w:eastAsia="Times New Roman"/>
          <w:spacing w:val="2"/>
        </w:rPr>
        <w:t>a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38"/>
        </w:rPr>
        <w:t> </w:t>
      </w:r>
      <w:r>
        <w:rPr/>
        <w:t>提</w:t>
      </w:r>
      <w:r>
        <w:rPr>
          <w:spacing w:val="2"/>
        </w:rPr>
        <w:t>出</w:t>
      </w:r>
      <w:r>
        <w:rPr/>
        <w:t>翻</w:t>
      </w:r>
      <w:r>
        <w:rPr>
          <w:spacing w:val="2"/>
        </w:rPr>
        <w:t>轉</w:t>
      </w:r>
      <w:r>
        <w:rPr/>
        <w:t>課堂觀</w:t>
      </w:r>
      <w:r>
        <w:rPr>
          <w:spacing w:val="-57"/>
        </w:rPr>
        <w:t>念</w:t>
      </w:r>
      <w:r>
        <w:rPr>
          <w:spacing w:val="-59"/>
        </w:rPr>
        <w:t>，</w:t>
      </w:r>
      <w:r>
        <w:rPr>
          <w:spacing w:val="2"/>
        </w:rPr>
        <w:t>目</w:t>
      </w:r>
      <w:r>
        <w:rPr/>
        <w:t>的是</w:t>
      </w:r>
      <w:r>
        <w:rPr>
          <w:spacing w:val="2"/>
        </w:rPr>
        <w:t>將</w:t>
      </w:r>
      <w:r>
        <w:rPr/>
        <w:t>課堂時</w:t>
      </w:r>
      <w:r>
        <w:rPr>
          <w:spacing w:val="2"/>
        </w:rPr>
        <w:t>間</w:t>
      </w:r>
      <w:r>
        <w:rPr/>
        <w:t>用作</w:t>
      </w:r>
      <w:r>
        <w:rPr>
          <w:spacing w:val="2"/>
        </w:rPr>
        <w:t>更</w:t>
      </w:r>
      <w:r>
        <w:rPr/>
        <w:t>深</w:t>
      </w:r>
      <w:r>
        <w:rPr>
          <w:spacing w:val="2"/>
        </w:rPr>
        <w:t>入</w:t>
      </w:r>
      <w:r>
        <w:rPr/>
        <w:t>的學習</w:t>
      </w:r>
      <w:r>
        <w:rPr>
          <w:w w:val="99"/>
        </w:rPr>
        <w:t> </w:t>
      </w:r>
      <w:r>
        <w:rPr>
          <w:w w:val="95"/>
        </w:rPr>
        <w:t>活動上，因為講課其實僅是最基礎層次的學習活動，希望將學生從知識接</w:t>
      </w:r>
      <w:r>
        <w:rPr>
          <w:spacing w:val="24"/>
          <w:w w:val="99"/>
        </w:rPr>
        <w:t> </w:t>
      </w:r>
      <w:r>
        <w:rPr>
          <w:w w:val="95"/>
        </w:rPr>
        <w:t>收者轉化為主動學習者。翻轉教學要讓課堂時間更有生產力，也重新定義</w:t>
      </w:r>
      <w:r>
        <w:rPr>
          <w:spacing w:val="24"/>
          <w:w w:val="99"/>
        </w:rPr>
        <w:t> </w:t>
      </w:r>
      <w:r>
        <w:rPr/>
        <w:t>教師與學生的角色。是讓學生自主探索與合作，建立同儕之間的互動學</w:t>
      </w:r>
      <w:r>
        <w:rPr>
          <w:spacing w:val="36"/>
          <w:w w:val="99"/>
        </w:rPr>
        <w:t> </w:t>
      </w:r>
      <w:r>
        <w:rPr>
          <w:spacing w:val="-1"/>
        </w:rPr>
        <w:t>習。讓教師在課堂上有更高的自由度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/>
        <w:t>可以觀察學生應用知識的能力</w:t>
      </w:r>
      <w:r>
        <w:rPr>
          <w:rFonts w:ascii="Times New Roman" w:hAnsi="Times New Roman" w:cs="Times New Roman" w:eastAsia="Times New Roman"/>
        </w:rPr>
        <w:t>,</w:t>
      </w:r>
      <w:r>
        <w:rPr/>
        <w:t>視情</w:t>
      </w:r>
      <w:r>
        <w:rPr>
          <w:spacing w:val="44"/>
          <w:w w:val="99"/>
        </w:rPr>
        <w:t> </w:t>
      </w:r>
      <w:r>
        <w:rPr/>
        <w:t>況給學生差異化的協助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教室中的主角從教師變成學生。政治大學圖書資</w:t>
      </w:r>
      <w:r>
        <w:rPr>
          <w:spacing w:val="40"/>
          <w:w w:val="99"/>
        </w:rPr>
        <w:t> </w:t>
      </w:r>
      <w:r>
        <w:rPr>
          <w:w w:val="95"/>
        </w:rPr>
        <w:t>訊學數位專班工作坊，邀請大家一起探討，當翻轉課堂與數位學習相撞可</w:t>
      </w:r>
      <w:r>
        <w:rPr>
          <w:spacing w:val="25"/>
          <w:w w:val="99"/>
        </w:rPr>
        <w:t> </w:t>
      </w:r>
      <w:r>
        <w:rPr>
          <w:spacing w:val="-3"/>
          <w:w w:val="95"/>
        </w:rPr>
        <w:t>以產生什麼樣的火花，將從翻轉教室、</w:t>
      </w:r>
      <w:r>
        <w:rPr>
          <w:rFonts w:ascii="Times New Roman" w:hAnsi="Times New Roman" w:cs="Times New Roman" w:eastAsia="Times New Roman"/>
          <w:spacing w:val="-3"/>
          <w:w w:val="95"/>
        </w:rPr>
        <w:t>MOOCs</w:t>
      </w:r>
      <w:r>
        <w:rPr>
          <w:spacing w:val="-3"/>
          <w:w w:val="95"/>
        </w:rPr>
        <w:t>、行動學習、與圖書館最新</w:t>
      </w:r>
      <w:r>
        <w:rPr>
          <w:spacing w:val="28"/>
          <w:w w:val="99"/>
        </w:rPr>
        <w:t> </w:t>
      </w:r>
      <w:r>
        <w:rPr/>
        <w:t>發展共同研討。</w:t>
      </w:r>
      <w:r>
        <w:rPr/>
      </w:r>
    </w:p>
    <w:p>
      <w:pPr>
        <w:spacing w:line="240" w:lineRule="auto" w:before="2"/>
        <w:rPr>
          <w:rFonts w:ascii="標楷體" w:hAnsi="標楷體" w:cs="標楷體" w:eastAsia="標楷體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二、</w:t>
      </w:r>
      <w:r>
        <w:rPr>
          <w:spacing w:val="-99"/>
        </w:rPr>
        <w:t> </w:t>
      </w:r>
      <w:r>
        <w:rPr/>
        <w:t>會議目標</w:t>
      </w:r>
      <w:r>
        <w:rPr/>
      </w:r>
    </w:p>
    <w:p>
      <w:pPr>
        <w:pStyle w:val="BodyText"/>
        <w:spacing w:line="240" w:lineRule="auto" w:before="19"/>
        <w:ind w:left="599" w:right="0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/>
        <w:t>促進數位學習新知與觀念的交流學習。</w:t>
      </w:r>
      <w:r>
        <w:rPr/>
      </w:r>
    </w:p>
    <w:p>
      <w:pPr>
        <w:pStyle w:val="BodyText"/>
        <w:spacing w:line="240" w:lineRule="auto"/>
        <w:ind w:left="599"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促進教師與學生以及圖書館的討論與學術交流</w:t>
      </w:r>
      <w:r>
        <w:rPr/>
      </w:r>
    </w:p>
    <w:p>
      <w:pPr>
        <w:pStyle w:val="BodyText"/>
        <w:spacing w:line="240" w:lineRule="auto"/>
        <w:ind w:left="637"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提升數位學習課程的學習成效</w:t>
      </w:r>
      <w:r>
        <w:rPr/>
      </w:r>
    </w:p>
    <w:p>
      <w:pPr>
        <w:pStyle w:val="BodyText"/>
        <w:spacing w:line="240" w:lineRule="auto"/>
        <w:ind w:left="637" w:right="0"/>
        <w:jc w:val="left"/>
      </w:pPr>
      <w:r>
        <w:rPr>
          <w:rFonts w:ascii="Times New Roman" w:hAnsi="Times New Roman" w:cs="Times New Roman" w:eastAsia="Times New Roman"/>
        </w:rPr>
        <w:t>4.</w:t>
      </w:r>
      <w:r>
        <w:rPr/>
        <w:t>增進數位學習教學設計的技巧</w:t>
      </w:r>
      <w:r>
        <w:rPr/>
      </w:r>
    </w:p>
    <w:p>
      <w:pPr>
        <w:pStyle w:val="Heading2"/>
        <w:spacing w:line="240" w:lineRule="auto"/>
        <w:ind w:right="0"/>
        <w:jc w:val="left"/>
      </w:pPr>
      <w:r>
        <w:rPr/>
        <w:t>三、會議議題</w:t>
      </w:r>
    </w:p>
    <w:p>
      <w:pPr>
        <w:pStyle w:val="BodyText"/>
        <w:spacing w:line="240" w:lineRule="auto" w:before="186"/>
        <w:ind w:left="600" w:right="0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/>
        <w:t>翻轉教學與數位學習</w:t>
      </w:r>
      <w:r>
        <w:rPr/>
      </w:r>
    </w:p>
    <w:p>
      <w:pPr>
        <w:pStyle w:val="BodyText"/>
        <w:spacing w:line="240" w:lineRule="auto"/>
        <w:ind w:left="600"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MOOCs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教材設計與影片攝製</w:t>
      </w:r>
      <w:r>
        <w:rPr/>
      </w:r>
    </w:p>
    <w:p>
      <w:pPr>
        <w:pStyle w:val="BodyText"/>
        <w:spacing w:line="240" w:lineRule="auto"/>
        <w:ind w:left="600"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行動數位學習</w:t>
      </w:r>
      <w:r>
        <w:rPr/>
      </w:r>
    </w:p>
    <w:p>
      <w:pPr>
        <w:pStyle w:val="BodyText"/>
        <w:spacing w:line="240" w:lineRule="auto"/>
        <w:ind w:left="638" w:right="0"/>
        <w:jc w:val="left"/>
      </w:pPr>
      <w:r>
        <w:rPr>
          <w:rFonts w:ascii="Times New Roman" w:hAnsi="Times New Roman" w:cs="Times New Roman" w:eastAsia="Times New Roman"/>
        </w:rPr>
        <w:t>4.</w:t>
      </w:r>
      <w:r>
        <w:rPr/>
        <w:t>數位學習與圖書館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866" w:top="1540" w:bottom="1060" w:left="1680" w:right="1680"/>
          <w:pgNumType w:start="1"/>
        </w:sectPr>
      </w:pPr>
    </w:p>
    <w:p>
      <w:pPr>
        <w:spacing w:line="366" w:lineRule="auto" w:before="0"/>
        <w:ind w:left="240" w:right="967" w:firstLine="0"/>
        <w:jc w:val="left"/>
        <w:rPr>
          <w:rFonts w:ascii="標楷體" w:hAnsi="標楷體" w:cs="標楷體" w:eastAsia="標楷體"/>
          <w:sz w:val="26"/>
          <w:szCs w:val="26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四、主辦單位：</w:t>
      </w:r>
      <w:r>
        <w:rPr>
          <w:rFonts w:ascii="標楷體" w:hAnsi="標楷體" w:cs="標楷體" w:eastAsia="標楷體"/>
          <w:spacing w:val="24"/>
          <w:sz w:val="28"/>
          <w:szCs w:val="28"/>
        </w:rPr>
        <w:t> </w:t>
      </w:r>
      <w:r>
        <w:rPr>
          <w:rFonts w:ascii="標楷體" w:hAnsi="標楷體" w:cs="標楷體" w:eastAsia="標楷體"/>
          <w:w w:val="95"/>
          <w:sz w:val="26"/>
          <w:szCs w:val="26"/>
        </w:rPr>
        <w:t>國立政治大學圖書資訊學數位碩士在職專班、圖書資訊與檔案學研究所</w:t>
      </w:r>
      <w:r>
        <w:rPr>
          <w:rFonts w:ascii="標楷體" w:hAnsi="標楷體" w:cs="標楷體" w:eastAsia="標楷體"/>
          <w:spacing w:val="36"/>
          <w:w w:val="99"/>
          <w:sz w:val="26"/>
          <w:szCs w:val="26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五、協辦單位：</w:t>
      </w:r>
      <w:r>
        <w:rPr>
          <w:rFonts w:ascii="標楷體" w:hAnsi="標楷體" w:cs="標楷體" w:eastAsia="標楷體"/>
          <w:spacing w:val="-1"/>
          <w:sz w:val="26"/>
          <w:szCs w:val="26"/>
        </w:rPr>
        <w:t>國立政治大學教發中心</w:t>
      </w:r>
      <w:r>
        <w:rPr>
          <w:rFonts w:ascii="標楷體" w:hAnsi="標楷體" w:cs="標楷體" w:eastAsia="標楷體"/>
          <w:sz w:val="26"/>
          <w:szCs w:val="26"/>
        </w:rPr>
      </w:r>
    </w:p>
    <w:p>
      <w:pPr>
        <w:pStyle w:val="Heading2"/>
        <w:spacing w:line="240" w:lineRule="auto" w:before="205"/>
        <w:ind w:left="240" w:right="0"/>
        <w:jc w:val="left"/>
      </w:pPr>
      <w:r>
        <w:rPr>
          <w:spacing w:val="-1"/>
        </w:rPr>
        <w:t>六、日期與地點</w:t>
      </w:r>
    </w:p>
    <w:p>
      <w:pPr>
        <w:pStyle w:val="BodyText"/>
        <w:spacing w:line="240" w:lineRule="auto" w:before="186"/>
        <w:ind w:left="2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星期六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9:50-17:10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地點：百年樓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  <w:spacing w:val="-3"/>
        </w:rPr>
        <w:t>330111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會議室</w:t>
      </w:r>
      <w:r>
        <w:rPr>
          <w:rFonts w:ascii="Times New Roman" w:hAnsi="Times New Roman" w:cs="Times New Roman" w:eastAsia="Times New Roman"/>
        </w:rPr>
        <w:t>(</w:t>
      </w:r>
      <w:r>
        <w:rPr/>
        <w:t>約</w:t>
      </w:r>
      <w:r>
        <w:rPr>
          <w:spacing w:val="-72"/>
        </w:rPr>
        <w:t> </w:t>
      </w:r>
      <w:r>
        <w:rPr>
          <w:rFonts w:ascii="Times New Roman" w:hAnsi="Times New Roman" w:cs="Times New Roman" w:eastAsia="Times New Roman"/>
          <w:spacing w:val="1"/>
        </w:rPr>
        <w:t>80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人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240" w:lineRule="auto"/>
        <w:ind w:left="240" w:right="0"/>
        <w:jc w:val="left"/>
      </w:pPr>
      <w:r>
        <w:rPr>
          <w:spacing w:val="-1"/>
        </w:rPr>
        <w:t>七、會議議程</w:t>
      </w:r>
    </w:p>
    <w:p>
      <w:pPr>
        <w:spacing w:line="240" w:lineRule="auto" w:before="7"/>
        <w:rPr>
          <w:rFonts w:ascii="標楷體" w:hAnsi="標楷體" w:cs="標楷體" w:eastAsia="標楷體"/>
          <w:sz w:val="18"/>
          <w:szCs w:val="18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5953"/>
        <w:gridCol w:w="1114"/>
      </w:tblGrid>
      <w:tr>
        <w:trPr>
          <w:trHeight w:val="408" w:hRule="exact"/>
        </w:trPr>
        <w:tc>
          <w:tcPr>
            <w:tcW w:w="1975" w:type="dxa"/>
            <w:tcBorders>
              <w:top w:val="single" w:sz="2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2CC"/>
          </w:tcPr>
          <w:p>
            <w:pPr>
              <w:pStyle w:val="TableParagraph"/>
              <w:tabs>
                <w:tab w:pos="1141" w:val="left" w:leader="none"/>
              </w:tabs>
              <w:spacing w:line="240" w:lineRule="auto" w:before="8"/>
              <w:ind w:left="54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21" w:space="0" w:color="000000"/>
              <w:left w:val="single" w:sz="20" w:space="0" w:color="000000"/>
              <w:bottom w:val="single" w:sz="20" w:space="0" w:color="000000"/>
              <w:right w:val="single" w:sz="21" w:space="0" w:color="000000"/>
            </w:tcBorders>
            <w:shd w:val="clear" w:color="auto" w:fill="FFF2CC"/>
          </w:tcPr>
          <w:p>
            <w:pPr>
              <w:pStyle w:val="TableParagraph"/>
              <w:tabs>
                <w:tab w:pos="599" w:val="left" w:leader="none"/>
              </w:tabs>
              <w:spacing w:line="240" w:lineRule="auto" w:before="8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議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程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21" w:space="0" w:color="000000"/>
              <w:left w:val="single" w:sz="21" w:space="0" w:color="000000"/>
              <w:bottom w:val="single" w:sz="20" w:space="0" w:color="000000"/>
              <w:right w:val="single" w:sz="19" w:space="0" w:color="000000"/>
            </w:tcBorders>
            <w:shd w:val="clear" w:color="auto" w:fill="FFF2CC"/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主持人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926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31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9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50-10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31" w:space="0" w:color="000000"/>
              <w:right w:val="single" w:sz="21" w:space="0" w:color="000000"/>
            </w:tcBorders>
          </w:tcPr>
          <w:p>
            <w:pPr>
              <w:pStyle w:val="TableParagraph"/>
              <w:spacing w:line="275" w:lineRule="auto" w:before="52"/>
              <w:ind w:left="107" w:right="15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開幕式致詞／張寶芳副教務長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政治大學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21" w:space="0" w:color="000000"/>
              <w:bottom w:val="single" w:sz="31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52"/>
              <w:ind w:left="289" w:right="17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王梅玲 教授</w:t>
            </w:r>
          </w:p>
        </w:tc>
      </w:tr>
      <w:tr>
        <w:trPr>
          <w:trHeight w:val="1130" w:hRule="exact"/>
        </w:trPr>
        <w:tc>
          <w:tcPr>
            <w:tcW w:w="1975" w:type="dxa"/>
            <w:tcBorders>
              <w:top w:val="single" w:sz="3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10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00--11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31" w:space="0" w:color="000000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>
            <w:pPr>
              <w:pStyle w:val="TableParagraph"/>
              <w:spacing w:line="273" w:lineRule="auto" w:before="20"/>
              <w:ind w:left="107" w:right="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專題演講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3"/>
                <w:sz w:val="24"/>
                <w:szCs w:val="24"/>
              </w:rPr>
              <w:t>逢甲大學磨課師推動策略與圖書館／林志敏館長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3"/>
                <w:sz w:val="24"/>
                <w:szCs w:val="24"/>
              </w:rPr>
              <w:t>逢甲</w:t>
            </w:r>
            <w:r>
              <w:rPr>
                <w:rFonts w:ascii="標楷體" w:hAnsi="標楷體" w:cs="標楷體" w:eastAsia="標楷體"/>
                <w:spacing w:val="3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大學圖書館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31" w:space="0" w:color="000000"/>
              <w:left w:val="single" w:sz="21" w:space="0" w:color="000000"/>
              <w:bottom w:val="single" w:sz="20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164"/>
              <w:ind w:left="289" w:right="17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蔡明月 教授</w:t>
            </w:r>
          </w:p>
        </w:tc>
      </w:tr>
      <w:tr>
        <w:trPr>
          <w:trHeight w:val="90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11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00--12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>
            <w:pPr>
              <w:pStyle w:val="TableParagraph"/>
              <w:spacing w:line="302" w:lineRule="auto" w:before="49"/>
              <w:ind w:left="107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專題講演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通識教育翻轉教室行動研究／陳幼慧教授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政大教育系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21" w:space="0" w:color="000000"/>
              <w:bottom w:val="single" w:sz="20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49"/>
              <w:ind w:left="289" w:right="17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邱炯友 教授</w:t>
            </w:r>
          </w:p>
        </w:tc>
      </w:tr>
      <w:tr>
        <w:trPr>
          <w:trHeight w:val="90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00--13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tabs>
                <w:tab w:pos="3747" w:val="left" w:leader="none"/>
              </w:tabs>
              <w:spacing w:line="240" w:lineRule="auto"/>
              <w:ind w:left="302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午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20" w:space="0" w:color="000000"/>
              <w:left w:val="nil" w:sz="6" w:space="0" w:color="auto"/>
              <w:bottom w:val="single" w:sz="20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00--14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>
            <w:pPr>
              <w:pStyle w:val="TableParagraph"/>
              <w:spacing w:line="240" w:lineRule="auto" w:before="85"/>
              <w:ind w:left="10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專題演講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6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MOOCs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教材與影片製作／黃朝曦教授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宜蘭大學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21" w:space="0" w:color="000000"/>
              <w:bottom w:val="single" w:sz="20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49"/>
              <w:ind w:left="169" w:right="17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林巧敏 副教授</w:t>
            </w:r>
          </w:p>
        </w:tc>
      </w:tr>
      <w:tr>
        <w:trPr>
          <w:trHeight w:val="90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14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00--15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>
            <w:pPr>
              <w:pStyle w:val="TableParagraph"/>
              <w:spacing w:line="240" w:lineRule="auto" w:before="85"/>
              <w:ind w:left="10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專題演講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0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MOOCs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全球發展趨勢／葉丙成教授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台灣大學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21" w:space="0" w:color="000000"/>
              <w:bottom w:val="single" w:sz="20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73"/>
              <w:ind w:left="289" w:right="17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楊美華 教授</w:t>
            </w:r>
          </w:p>
        </w:tc>
      </w:tr>
      <w:tr>
        <w:trPr>
          <w:trHeight w:val="90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15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00--15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tabs>
                <w:tab w:pos="3747" w:val="left" w:leader="none"/>
              </w:tabs>
              <w:spacing w:line="240" w:lineRule="auto"/>
              <w:ind w:left="302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茶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敘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20" w:space="0" w:color="000000"/>
              <w:left w:val="nil" w:sz="6" w:space="0" w:color="auto"/>
              <w:bottom w:val="single" w:sz="20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15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20--16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>
            <w:pPr>
              <w:pStyle w:val="TableParagraph"/>
              <w:spacing w:line="240" w:lineRule="auto" w:before="85"/>
              <w:ind w:left="10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專題演講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6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行動學習與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／朱達勇老師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宜蘭大學人科中心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21" w:space="0" w:color="000000"/>
              <w:bottom w:val="single" w:sz="20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49"/>
              <w:ind w:left="289" w:right="17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陳志銘 教授</w:t>
            </w:r>
          </w:p>
        </w:tc>
      </w:tr>
      <w:tr>
        <w:trPr>
          <w:trHeight w:val="1130" w:hRule="exact"/>
        </w:trPr>
        <w:tc>
          <w:tcPr>
            <w:tcW w:w="1975" w:type="dxa"/>
            <w:tcBorders>
              <w:top w:val="single" w:sz="20" w:space="0" w:color="000000"/>
              <w:left w:val="single" w:sz="20" w:space="0" w:color="000000"/>
              <w:bottom w:val="single" w:sz="21" w:space="0" w:color="000000"/>
              <w:right w:val="single" w:sz="2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16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20--17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20" w:space="0" w:color="000000"/>
              <w:left w:val="single" w:sz="20" w:space="0" w:color="000000"/>
              <w:bottom w:val="single" w:sz="21" w:space="0" w:color="000000"/>
              <w:right w:val="single" w:sz="21" w:space="0" w:color="000000"/>
            </w:tcBorders>
          </w:tcPr>
          <w:p>
            <w:pPr>
              <w:pStyle w:val="TableParagraph"/>
              <w:spacing w:line="271" w:lineRule="auto" w:before="20"/>
              <w:ind w:left="107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數位學習與圖書館論壇／高鵬主任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國家圖書館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、童敏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惠主任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台灣大學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、張慈玲主任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台灣師範大學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40" w:lineRule="auto" w:before="7"/>
              <w:ind w:left="10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閉幕式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21" w:space="0" w:color="000000"/>
              <w:bottom w:val="single" w:sz="21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164"/>
              <w:ind w:left="289" w:right="17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王梅玲 教授</w:t>
            </w:r>
          </w:p>
        </w:tc>
      </w:tr>
    </w:tbl>
    <w:sectPr>
      <w:pgSz w:w="11910" w:h="16840"/>
      <w:pgMar w:header="0" w:footer="866" w:top="1560" w:bottom="1060" w:left="15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079987pt;margin-top:787.609985pt;width:9.050pt;height:12pt;mso-position-horizontal-relative:page;mso-position-vertical-relative:page;z-index:-5200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"/>
      <w:ind w:left="120"/>
    </w:pPr>
    <w:rPr>
      <w:rFonts w:ascii="標楷體" w:hAnsi="標楷體" w:eastAsia="標楷體"/>
      <w:sz w:val="26"/>
      <w:szCs w:val="2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82"/>
      <w:ind w:left="120"/>
      <w:outlineLvl w:val="2"/>
    </w:pPr>
    <w:rPr>
      <w:rFonts w:ascii="標楷體" w:hAnsi="標楷體" w:eastAsia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黃思穎</dc:creator>
  <dcterms:created xsi:type="dcterms:W3CDTF">2016-04-14T15:10:12Z</dcterms:created>
  <dcterms:modified xsi:type="dcterms:W3CDTF">2016-04-14T15:10:12Z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2016-04-08T00:00:00Z</vt:filetime>
  </property>
  <property fmtid="{D5CDD505-2E9C-101B-9397-08002B2CF9AE}" pid="3" name="LastSaved">
    <vt:filetime>2016-04-14T00:00:00Z</vt:filetime>
  </property>
</Properties>
</file>