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9" w:lineRule="exact"/>
        <w:ind w:left="117" w:right="0" w:firstLine="675"/>
        <w:jc w:val="left"/>
        <w:rPr>
          <w:b w:val="0"/>
          <w:bCs w:val="0"/>
        </w:rPr>
      </w:pPr>
      <w:r>
        <w:rPr/>
        <w:t>MOOCs</w:t>
      </w:r>
      <w:r>
        <w:rPr>
          <w:spacing w:val="-14"/>
        </w:rPr>
        <w:t> </w:t>
      </w:r>
      <w:r>
        <w:rPr/>
        <w:t>國際課程設計經驗分享-All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Nuts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Bolts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微軟正黑體" w:hAnsi="微軟正黑體" w:cs="微軟正黑體" w:eastAsia="微軟正黑體"/>
          <w:b/>
          <w:bCs/>
          <w:sz w:val="27"/>
          <w:szCs w:val="27"/>
        </w:rPr>
      </w:pPr>
    </w:p>
    <w:p>
      <w:pPr>
        <w:pStyle w:val="BodyText"/>
        <w:spacing w:line="238" w:lineRule="auto"/>
        <w:ind w:right="113"/>
        <w:jc w:val="both"/>
      </w:pPr>
      <w:r>
        <w:rPr/>
        <w:t>大家都聽過</w:t>
      </w:r>
      <w:r>
        <w:rPr>
          <w:spacing w:val="-14"/>
        </w:rPr>
        <w:t> </w:t>
      </w:r>
      <w:r>
        <w:rPr/>
        <w:t>MOOCs</w:t>
      </w:r>
      <w:r>
        <w:rPr>
          <w:spacing w:val="43"/>
        </w:rPr>
        <w:t> </w:t>
      </w:r>
      <w:r>
        <w:rPr/>
        <w:t>─</w:t>
      </w:r>
      <w:r>
        <w:rPr>
          <w:spacing w:val="44"/>
        </w:rPr>
        <w:t> </w:t>
      </w:r>
      <w:r>
        <w:rPr/>
        <w:t>把優質的課程放在網路上，讓全世界的人都</w:t>
      </w:r>
      <w:r>
        <w:rPr>
          <w:spacing w:val="22"/>
          <w:w w:val="99"/>
        </w:rPr>
        <w:t> </w:t>
      </w:r>
      <w:r>
        <w:rPr>
          <w:spacing w:val="-3"/>
          <w:w w:val="95"/>
        </w:rPr>
        <w:t>可以觀看並學習。而學習成效也一直是值得探討的問題，課程放上去</w:t>
      </w:r>
      <w:r>
        <w:rPr>
          <w:spacing w:val="25"/>
          <w:w w:val="99"/>
        </w:rPr>
        <w:t> </w:t>
      </w:r>
      <w:r>
        <w:rPr>
          <w:spacing w:val="-3"/>
          <w:w w:val="95"/>
        </w:rPr>
        <w:t>是第一步，接下來的經營才是完成學習的重要關鍵，也因為是國際課</w:t>
      </w:r>
      <w:r>
        <w:rPr>
          <w:spacing w:val="25"/>
          <w:w w:val="99"/>
        </w:rPr>
        <w:t> </w:t>
      </w:r>
      <w:r>
        <w:rPr/>
        <w:t>程授課對象比一般實際授課的學生資質也更為參差，更有挑戰性。</w:t>
      </w:r>
      <w:r>
        <w:rPr/>
      </w:r>
    </w:p>
    <w:p>
      <w:pPr>
        <w:spacing w:line="240" w:lineRule="auto" w:before="14"/>
        <w:rPr>
          <w:rFonts w:ascii="微軟正黑體" w:hAnsi="微軟正黑體" w:cs="微軟正黑體" w:eastAsia="微軟正黑體"/>
          <w:sz w:val="27"/>
          <w:szCs w:val="27"/>
        </w:rPr>
      </w:pPr>
    </w:p>
    <w:p>
      <w:pPr>
        <w:pStyle w:val="BodyText"/>
        <w:spacing w:line="238" w:lineRule="auto"/>
        <w:ind w:right="0"/>
        <w:jc w:val="left"/>
      </w:pPr>
      <w:r>
        <w:rPr>
          <w:w w:val="95"/>
        </w:rPr>
        <w:t>這樣的課</w:t>
      </w:r>
      <w:r>
        <w:rPr>
          <w:spacing w:val="-44"/>
          <w:w w:val="95"/>
        </w:rPr>
        <w:t>程</w:t>
      </w:r>
      <w:r>
        <w:rPr>
          <w:spacing w:val="-43"/>
          <w:w w:val="95"/>
        </w:rPr>
        <w:t>，</w:t>
      </w:r>
      <w:r>
        <w:rPr>
          <w:w w:val="95"/>
        </w:rPr>
        <w:t>內容該如何設計以維持學習者的興趣？如何熱絡課程討</w:t>
      </w:r>
      <w:r>
        <w:rPr>
          <w:w w:val="99"/>
        </w:rPr>
        <w:t> </w:t>
      </w:r>
      <w:r>
        <w:rPr>
          <w:w w:val="95"/>
        </w:rPr>
        <w:t>論版？作業如何設計讓來自四面八方的學習</w:t>
      </w:r>
      <w:r>
        <w:rPr>
          <w:spacing w:val="-43"/>
          <w:w w:val="95"/>
        </w:rPr>
        <w:t>者</w:t>
      </w:r>
      <w:r>
        <w:rPr>
          <w:spacing w:val="-44"/>
          <w:w w:val="95"/>
        </w:rPr>
        <w:t>，</w:t>
      </w:r>
      <w:r>
        <w:rPr>
          <w:w w:val="95"/>
        </w:rPr>
        <w:t>讓他們進行有效學習</w:t>
      </w:r>
      <w:r>
        <w:rPr>
          <w:w w:val="99"/>
        </w:rPr>
        <w:t> </w:t>
      </w:r>
      <w:r>
        <w:rPr/>
        <w:t>與合作？又如何去檢核學習的成效？這些都端看授課老師與課程團</w:t>
      </w:r>
      <w:r>
        <w:rPr>
          <w:spacing w:val="21"/>
          <w:w w:val="99"/>
        </w:rPr>
        <w:t> </w:t>
      </w:r>
      <w:r>
        <w:rPr/>
        <w:t>隊如何設計與經營。</w:t>
      </w:r>
      <w:r>
        <w:rPr/>
      </w:r>
    </w:p>
    <w:p>
      <w:pPr>
        <w:spacing w:line="240" w:lineRule="auto" w:before="15"/>
        <w:rPr>
          <w:rFonts w:ascii="微軟正黑體" w:hAnsi="微軟正黑體" w:cs="微軟正黑體" w:eastAsia="微軟正黑體"/>
          <w:sz w:val="27"/>
          <w:szCs w:val="27"/>
        </w:rPr>
      </w:pPr>
    </w:p>
    <w:p>
      <w:pPr>
        <w:pStyle w:val="BodyText"/>
        <w:spacing w:line="238" w:lineRule="auto"/>
        <w:ind w:right="0"/>
        <w:jc w:val="left"/>
      </w:pPr>
      <w:r>
        <w:rPr/>
        <w:t>因此，教發中心特別邀約有</w:t>
      </w:r>
      <w:r>
        <w:rPr>
          <w:spacing w:val="-41"/>
        </w:rPr>
        <w:t> </w:t>
      </w:r>
      <w:r>
        <w:rPr/>
        <w:t>MOOCs</w:t>
      </w:r>
      <w:r>
        <w:rPr>
          <w:spacing w:val="-40"/>
        </w:rPr>
        <w:t> </w:t>
      </w:r>
      <w:r>
        <w:rPr/>
        <w:t>實戰經驗的張歐群老師分享國</w:t>
      </w:r>
      <w:r>
        <w:rPr>
          <w:w w:val="99"/>
        </w:rPr>
        <w:t> </w:t>
      </w:r>
      <w:r>
        <w:rPr>
          <w:spacing w:val="-3"/>
          <w:w w:val="95"/>
        </w:rPr>
        <w:t>際數位課程設計的歷程與經驗，和國際課程呈現與經營的模式，張老</w:t>
      </w:r>
      <w:r>
        <w:rPr>
          <w:spacing w:val="24"/>
          <w:w w:val="99"/>
        </w:rPr>
        <w:t> </w:t>
      </w:r>
      <w:r>
        <w:rPr/>
        <w:t>師的寶貴經驗，將帶給您更多元豐富的教育視野。</w:t>
      </w:r>
      <w:r>
        <w:rPr/>
      </w:r>
    </w:p>
    <w:p>
      <w:pPr>
        <w:spacing w:line="240" w:lineRule="auto" w:before="12"/>
        <w:rPr>
          <w:rFonts w:ascii="微軟正黑體" w:hAnsi="微軟正黑體" w:cs="微軟正黑體" w:eastAsia="微軟正黑體"/>
          <w:sz w:val="27"/>
          <w:szCs w:val="27"/>
        </w:rPr>
      </w:pPr>
    </w:p>
    <w:p>
      <w:pPr>
        <w:pStyle w:val="BodyText"/>
        <w:tabs>
          <w:tab w:pos="597" w:val="left" w:leader="none"/>
        </w:tabs>
        <w:spacing w:line="485" w:lineRule="exact"/>
        <w:ind w:right="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時間：105</w:t>
      </w:r>
      <w:r>
        <w:rPr>
          <w:spacing w:val="-9"/>
        </w:rPr>
        <w:t> </w:t>
      </w:r>
      <w:r>
        <w:rPr/>
        <w:t>年</w:t>
      </w:r>
      <w:r>
        <w:rPr>
          <w:spacing w:val="-8"/>
        </w:rPr>
        <w:t> </w:t>
      </w:r>
      <w:r>
        <w:rPr/>
        <w:t>5</w:t>
      </w:r>
      <w:r>
        <w:rPr>
          <w:spacing w:val="-9"/>
        </w:rPr>
        <w:t> </w:t>
      </w:r>
      <w:r>
        <w:rPr/>
        <w:t>月</w:t>
      </w:r>
      <w:r>
        <w:rPr>
          <w:spacing w:val="-8"/>
        </w:rPr>
        <w:t> </w:t>
      </w:r>
      <w:r>
        <w:rPr>
          <w:spacing w:val="-1"/>
        </w:rPr>
        <w:t>17</w:t>
      </w:r>
      <w:r>
        <w:rPr>
          <w:spacing w:val="-8"/>
        </w:rPr>
        <w:t> </w:t>
      </w:r>
      <w:r>
        <w:rPr/>
        <w:t>日(二)</w:t>
      </w:r>
      <w:r>
        <w:rPr>
          <w:spacing w:val="-8"/>
        </w:rPr>
        <w:t> </w:t>
      </w:r>
      <w:r>
        <w:rPr/>
        <w:t>10:00-12:00</w:t>
      </w:r>
      <w:r>
        <w:rPr/>
      </w:r>
    </w:p>
    <w:p>
      <w:pPr>
        <w:pStyle w:val="BodyText"/>
        <w:tabs>
          <w:tab w:pos="597" w:val="left" w:leader="none"/>
        </w:tabs>
        <w:spacing w:line="484" w:lineRule="exact"/>
        <w:ind w:right="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地點：羅耀拉</w:t>
      </w:r>
      <w:r>
        <w:rPr>
          <w:spacing w:val="-18"/>
        </w:rPr>
        <w:t> </w:t>
      </w:r>
      <w:r>
        <w:rPr/>
        <w:t>SL117</w:t>
      </w:r>
      <w:r>
        <w:rPr>
          <w:spacing w:val="-18"/>
        </w:rPr>
        <w:t> </w:t>
      </w:r>
      <w:r>
        <w:rPr/>
        <w:t>會議室</w:t>
      </w:r>
      <w:r>
        <w:rPr/>
      </w:r>
    </w:p>
    <w:p>
      <w:pPr>
        <w:pStyle w:val="BodyText"/>
        <w:tabs>
          <w:tab w:pos="597" w:val="left" w:leader="none"/>
          <w:tab w:pos="6475" w:val="left" w:leader="none"/>
        </w:tabs>
        <w:spacing w:line="484" w:lineRule="exact"/>
        <w:ind w:right="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w w:val="95"/>
        </w:rPr>
        <w:t>主講人：台北醫學大學轉譯醫學博士學位學程</w:t>
        <w:tab/>
      </w:r>
      <w:r>
        <w:rPr/>
        <w:t>張歐群老師</w:t>
      </w:r>
      <w:r>
        <w:rPr/>
      </w:r>
    </w:p>
    <w:p>
      <w:pPr>
        <w:pStyle w:val="BodyText"/>
        <w:tabs>
          <w:tab w:pos="597" w:val="left" w:leader="none"/>
        </w:tabs>
        <w:spacing w:line="484" w:lineRule="exact" w:before="27"/>
        <w:ind w:left="597" w:right="425" w:hanging="48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報名網址：</w:t>
      </w:r>
      <w:r>
        <w:rPr>
          <w:w w:val="99"/>
        </w:rPr>
        <w:t> </w:t>
      </w:r>
      <w:r>
        <w:rPr>
          <w:color w:val="0000FF"/>
          <w:w w:val="99"/>
        </w:rPr>
      </w:r>
      <w:hyperlink r:id="rId5">
        <w:r>
          <w:rPr>
            <w:color w:val="0000FF"/>
            <w:spacing w:val="-1"/>
            <w:w w:val="95"/>
            <w:u w:val="single" w:color="0000FF"/>
          </w:rPr>
          <w:t>http://activity.dsa.fju.edu.tw/Activity.jsp?activityID=24991</w:t>
        </w:r>
        <w:r>
          <w:rPr>
            <w:color w:val="0000FF"/>
            <w:w w:val="99"/>
          </w:rPr>
        </w:r>
      </w:hyperlink>
      <w:r>
        <w:rPr>
          <w:color w:val="0000FF"/>
          <w:spacing w:val="49"/>
          <w:w w:val="99"/>
        </w:rPr>
        <w:t> </w:t>
      </w:r>
      <w:r>
        <w:rPr/>
        <w:t>(活動代碼：24991，報名截止日為</w:t>
      </w:r>
      <w:r>
        <w:rPr>
          <w:spacing w:val="-25"/>
        </w:rPr>
        <w:t> </w:t>
      </w:r>
      <w:r>
        <w:rPr/>
        <w:t>5/16</w:t>
      </w:r>
      <w:r>
        <w:rPr>
          <w:spacing w:val="-25"/>
        </w:rPr>
        <w:t> </w:t>
      </w:r>
      <w:r>
        <w:rPr/>
        <w:t>)</w:t>
      </w:r>
      <w:r>
        <w:rPr/>
      </w:r>
    </w:p>
    <w:p>
      <w:pPr>
        <w:pStyle w:val="BodyText"/>
        <w:tabs>
          <w:tab w:pos="597" w:val="left" w:leader="none"/>
        </w:tabs>
        <w:spacing w:line="458" w:lineRule="exact"/>
        <w:ind w:right="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全程參與本項活動得登錄本校年度教育訓練認證</w:t>
      </w:r>
      <w:r>
        <w:rPr>
          <w:spacing w:val="23"/>
        </w:rPr>
        <w:t> </w:t>
      </w:r>
      <w:r>
        <w:rPr/>
        <w:t>2</w:t>
      </w:r>
      <w:r>
        <w:rPr>
          <w:spacing w:val="-23"/>
        </w:rPr>
        <w:t> </w:t>
      </w:r>
      <w:r>
        <w:rPr/>
        <w:t>小時。</w:t>
      </w:r>
      <w:r>
        <w:rPr/>
      </w:r>
    </w:p>
    <w:p>
      <w:pPr>
        <w:spacing w:after="0" w:line="458" w:lineRule="exact"/>
        <w:jc w:val="left"/>
        <w:sectPr>
          <w:type w:val="continuous"/>
          <w:pgSz w:w="11910" w:h="16840"/>
          <w:pgMar w:top="1500" w:bottom="280" w:left="1680" w:right="1680"/>
        </w:sectPr>
      </w:pPr>
    </w:p>
    <w:p>
      <w:pPr>
        <w:pStyle w:val="Heading1"/>
        <w:spacing w:line="369" w:lineRule="exact"/>
        <w:ind w:right="55"/>
        <w:jc w:val="center"/>
        <w:rPr>
          <w:b w:val="0"/>
          <w:bCs w:val="0"/>
        </w:rPr>
      </w:pPr>
      <w:r>
        <w:rPr/>
        <w:t>輔仁大學地理位置</w:t>
      </w:r>
      <w:r>
        <w:rPr>
          <w:b w:val="0"/>
          <w:bCs w:val="0"/>
        </w:rPr>
      </w:r>
    </w:p>
    <w:p>
      <w:pPr>
        <w:spacing w:line="240" w:lineRule="auto" w:before="4"/>
        <w:rPr>
          <w:rFonts w:ascii="微軟正黑體" w:hAnsi="微軟正黑體" w:cs="微軟正黑體" w:eastAsia="微軟正黑體"/>
          <w:b/>
          <w:bCs/>
          <w:sz w:val="3"/>
          <w:szCs w:val="3"/>
        </w:rPr>
      </w:pPr>
    </w:p>
    <w:p>
      <w:pPr>
        <w:spacing w:line="200" w:lineRule="atLeast"/>
        <w:ind w:left="117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5366661" cy="402307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661" cy="402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spacing w:line="240" w:lineRule="auto" w:before="5"/>
        <w:rPr>
          <w:rFonts w:ascii="微軟正黑體" w:hAnsi="微軟正黑體" w:cs="微軟正黑體" w:eastAsia="微軟正黑體"/>
          <w:b/>
          <w:bCs/>
          <w:sz w:val="21"/>
          <w:szCs w:val="21"/>
        </w:rPr>
      </w:pPr>
    </w:p>
    <w:p>
      <w:pPr>
        <w:spacing w:before="0"/>
        <w:ind w:left="0" w:right="56" w:firstLine="0"/>
        <w:jc w:val="center"/>
        <w:rPr>
          <w:rFonts w:ascii="微軟正黑體" w:hAnsi="微軟正黑體" w:cs="微軟正黑體" w:eastAsia="微軟正黑體"/>
          <w:sz w:val="28"/>
          <w:szCs w:val="28"/>
        </w:rPr>
      </w:pPr>
      <w:r>
        <w:rPr>
          <w:rFonts w:ascii="微軟正黑體" w:hAnsi="微軟正黑體" w:cs="微軟正黑體" w:eastAsia="微軟正黑體"/>
          <w:b/>
          <w:bCs/>
          <w:sz w:val="28"/>
          <w:szCs w:val="28"/>
        </w:rPr>
        <w:t>場地示意圖</w:t>
      </w:r>
      <w:r>
        <w:rPr>
          <w:rFonts w:ascii="微軟正黑體" w:hAnsi="微軟正黑體" w:cs="微軟正黑體" w:eastAsia="微軟正黑體"/>
          <w:sz w:val="28"/>
          <w:szCs w:val="28"/>
        </w:rPr>
      </w:r>
    </w:p>
    <w:p>
      <w:pPr>
        <w:spacing w:line="240" w:lineRule="auto" w:before="4"/>
        <w:rPr>
          <w:rFonts w:ascii="微軟正黑體" w:hAnsi="微軟正黑體" w:cs="微軟正黑體" w:eastAsia="微軟正黑體"/>
          <w:b/>
          <w:bCs/>
          <w:sz w:val="3"/>
          <w:szCs w:val="3"/>
        </w:rPr>
      </w:pPr>
    </w:p>
    <w:p>
      <w:pPr>
        <w:spacing w:line="200" w:lineRule="atLeast"/>
        <w:ind w:left="117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5212898" cy="314353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898" cy="31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sectPr>
      <w:pgSz w:w="11910" w:h="16840"/>
      <w:pgMar w:top="150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微軟正黑體" w:hAnsi="微軟正黑體" w:eastAsia="微軟正黑體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微軟正黑體" w:hAnsi="微軟正黑體" w:eastAsia="微軟正黑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activity.dsa.fju.edu.tw/Activity.jsp?activityID=24991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Downoh</dc:creator>
  <dc:title>Microsoft Word - 宣傳文字.docx</dc:title>
  <dcterms:created xsi:type="dcterms:W3CDTF">2016-05-11T10:15:25Z</dcterms:created>
  <dcterms:modified xsi:type="dcterms:W3CDTF">2016-05-11T10:15:25Z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2016-05-11T00:00:00Z</vt:filetime>
  </property>
</Properties>
</file>