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19" w:lineRule="exact" w:before="0"/>
        <w:ind w:left="2705" w:right="0" w:firstLine="0"/>
        <w:jc w:val="center"/>
        <w:rPr>
          <w:rFonts w:ascii="標楷體" w:hAnsi="標楷體" w:cs="標楷體" w:eastAsia="標楷體"/>
          <w:sz w:val="56"/>
          <w:szCs w:val="56"/>
        </w:rPr>
      </w:pPr>
      <w:r>
        <w:rPr/>
        <w:pict>
          <v:shape style="position:absolute;margin-left:71.760002pt;margin-top:3.75pt;width:92.52pt;height:83.6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標楷體" w:hAnsi="標楷體" w:cs="標楷體" w:eastAsia="標楷體"/>
          <w:b/>
          <w:bCs/>
          <w:sz w:val="56"/>
          <w:szCs w:val="56"/>
        </w:rPr>
        <w:t>國</w:t>
      </w:r>
      <w:r>
        <w:rPr>
          <w:rFonts w:ascii="標楷體" w:hAnsi="標楷體" w:cs="標楷體" w:eastAsia="標楷體"/>
          <w:b/>
          <w:bCs/>
          <w:spacing w:val="-5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立</w:t>
      </w:r>
      <w:r>
        <w:rPr>
          <w:rFonts w:ascii="標楷體" w:hAnsi="標楷體" w:cs="標楷體" w:eastAsia="標楷體"/>
          <w:b/>
          <w:bCs/>
          <w:spacing w:val="-6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高</w:t>
      </w:r>
      <w:r>
        <w:rPr>
          <w:rFonts w:ascii="標楷體" w:hAnsi="標楷體" w:cs="標楷體" w:eastAsia="標楷體"/>
          <w:b/>
          <w:bCs/>
          <w:spacing w:val="-7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雄</w:t>
      </w:r>
      <w:r>
        <w:rPr>
          <w:rFonts w:ascii="標楷體" w:hAnsi="標楷體" w:cs="標楷體" w:eastAsia="標楷體"/>
          <w:b/>
          <w:bCs/>
          <w:spacing w:val="-4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餐</w:t>
      </w:r>
      <w:r>
        <w:rPr>
          <w:rFonts w:ascii="標楷體" w:hAnsi="標楷體" w:cs="標楷體" w:eastAsia="標楷體"/>
          <w:b/>
          <w:bCs/>
          <w:spacing w:val="-7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旅</w:t>
      </w:r>
      <w:r>
        <w:rPr>
          <w:rFonts w:ascii="標楷體" w:hAnsi="標楷體" w:cs="標楷體" w:eastAsia="標楷體"/>
          <w:b/>
          <w:bCs/>
          <w:spacing w:val="-4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大</w:t>
      </w:r>
      <w:r>
        <w:rPr>
          <w:rFonts w:ascii="標楷體" w:hAnsi="標楷體" w:cs="標楷體" w:eastAsia="標楷體"/>
          <w:b/>
          <w:bCs/>
          <w:spacing w:val="-6"/>
          <w:sz w:val="56"/>
          <w:szCs w:val="56"/>
        </w:rPr>
        <w:t> </w:t>
      </w:r>
      <w:r>
        <w:rPr>
          <w:rFonts w:ascii="標楷體" w:hAnsi="標楷體" w:cs="標楷體" w:eastAsia="標楷體"/>
          <w:b/>
          <w:bCs/>
          <w:sz w:val="56"/>
          <w:szCs w:val="56"/>
        </w:rPr>
        <w:t>學</w:t>
      </w:r>
      <w:r>
        <w:rPr>
          <w:rFonts w:ascii="標楷體" w:hAnsi="標楷體" w:cs="標楷體" w:eastAsia="標楷體"/>
          <w:sz w:val="56"/>
          <w:szCs w:val="56"/>
        </w:rPr>
      </w:r>
    </w:p>
    <w:p>
      <w:pPr>
        <w:spacing w:before="316"/>
        <w:ind w:left="2708" w:right="0" w:firstLine="0"/>
        <w:jc w:val="center"/>
        <w:rPr>
          <w:rFonts w:ascii="標楷體" w:hAnsi="標楷體" w:cs="標楷體" w:eastAsia="標楷體"/>
          <w:sz w:val="30"/>
          <w:szCs w:val="30"/>
        </w:rPr>
      </w:pPr>
      <w:r>
        <w:rPr>
          <w:rFonts w:ascii="標楷體" w:hAnsi="標楷體" w:cs="標楷體" w:eastAsia="標楷體"/>
          <w:b/>
          <w:bCs/>
          <w:w w:val="95"/>
          <w:sz w:val="30"/>
          <w:szCs w:val="30"/>
        </w:rPr>
        <w:t>2016 </w:t>
      </w:r>
      <w:r>
        <w:rPr>
          <w:rFonts w:ascii="標楷體" w:hAnsi="標楷體" w:cs="標楷體" w:eastAsia="標楷體"/>
          <w:b/>
          <w:bCs/>
          <w:spacing w:val="47"/>
          <w:w w:val="95"/>
          <w:sz w:val="30"/>
          <w:szCs w:val="30"/>
        </w:rPr>
        <w:t> </w:t>
      </w:r>
      <w:r>
        <w:rPr>
          <w:rFonts w:ascii="標楷體" w:hAnsi="標楷體" w:cs="標楷體" w:eastAsia="標楷體"/>
          <w:b/>
          <w:bCs/>
          <w:w w:val="95"/>
          <w:sz w:val="30"/>
          <w:szCs w:val="30"/>
        </w:rPr>
        <w:t>年國立高雄餐旅大學應用日語系國際學術研討會</w:t>
      </w:r>
      <w:r>
        <w:rPr>
          <w:rFonts w:ascii="標楷體" w:hAnsi="標楷體" w:cs="標楷體" w:eastAsia="標楷體"/>
          <w:sz w:val="30"/>
          <w:szCs w:val="3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pStyle w:val="BodyText"/>
        <w:tabs>
          <w:tab w:pos="1132" w:val="left" w:leader="none"/>
        </w:tabs>
        <w:spacing w:line="240" w:lineRule="auto" w:before="26"/>
        <w:ind w:right="0"/>
        <w:jc w:val="left"/>
      </w:pPr>
      <w:r>
        <w:rPr/>
        <w:t>日</w:t>
        <w:tab/>
        <w:t>期：民國</w:t>
      </w:r>
      <w:r>
        <w:rPr>
          <w:spacing w:val="-60"/>
        </w:rPr>
        <w:t> </w:t>
      </w:r>
      <w:r>
        <w:rPr/>
        <w:t>105</w:t>
      </w:r>
      <w:r>
        <w:rPr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/>
        <w:t>5</w:t>
      </w:r>
      <w:r>
        <w:rPr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/>
        <w:t>28</w:t>
      </w:r>
      <w:r>
        <w:rPr>
          <w:spacing w:val="-60"/>
        </w:rPr>
        <w:t> </w:t>
      </w:r>
      <w:r>
        <w:rPr/>
        <w:t>日(星期六) 上午</w:t>
      </w:r>
      <w:r>
        <w:rPr>
          <w:spacing w:val="-60"/>
        </w:rPr>
        <w:t> </w:t>
      </w:r>
      <w:r>
        <w:rPr/>
        <w:t>9</w:t>
      </w:r>
      <w:r>
        <w:rPr>
          <w:spacing w:val="-60"/>
        </w:rPr>
        <w:t> </w:t>
      </w:r>
      <w:r>
        <w:rPr/>
        <w:t>時至下午</w:t>
      </w:r>
      <w:r>
        <w:rPr>
          <w:spacing w:val="-60"/>
        </w:rPr>
        <w:t> </w:t>
      </w:r>
      <w:r>
        <w:rPr/>
        <w:t>16</w:t>
      </w:r>
      <w:r>
        <w:rPr>
          <w:spacing w:val="-60"/>
        </w:rPr>
        <w:t> </w:t>
      </w:r>
      <w:r>
        <w:rPr/>
        <w:t>時</w:t>
      </w:r>
      <w:r>
        <w:rPr>
          <w:spacing w:val="-60"/>
        </w:rPr>
        <w:t> </w:t>
      </w:r>
      <w:r>
        <w:rPr/>
        <w:t>30</w:t>
      </w:r>
      <w:r>
        <w:rPr>
          <w:spacing w:val="-60"/>
        </w:rPr>
        <w:t> </w:t>
      </w:r>
      <w:r>
        <w:rPr/>
        <w:t>分</w:t>
      </w:r>
    </w:p>
    <w:p>
      <w:pPr>
        <w:pStyle w:val="BodyText"/>
        <w:tabs>
          <w:tab w:pos="1132" w:val="left" w:leader="none"/>
        </w:tabs>
        <w:spacing w:line="275" w:lineRule="auto" w:before="46"/>
        <w:ind w:right="1290"/>
        <w:jc w:val="left"/>
      </w:pPr>
      <w:r>
        <w:rPr/>
        <w:t>地</w:t>
        <w:tab/>
        <w:t>點：國立高雄餐旅大學行政大樓六樓國際會議室 (高雄市小港區松和路一號) 主辦單位：國立高雄餐旅大學應用日語系 協辦單位：卓越計畫辦公室、社團法人台灣應用日語學會</w:t>
      </w:r>
    </w:p>
    <w:p>
      <w:pPr>
        <w:pStyle w:val="BodyText"/>
        <w:spacing w:line="240" w:lineRule="auto"/>
        <w:ind w:right="0"/>
        <w:jc w:val="left"/>
      </w:pPr>
      <w:r>
        <w:rPr/>
        <w:t>贊助單位：教育部</w:t>
      </w:r>
    </w:p>
    <w:p>
      <w:pPr>
        <w:spacing w:line="240" w:lineRule="auto" w:before="11"/>
        <w:rPr>
          <w:rFonts w:ascii="標楷體" w:hAnsi="標楷體" w:cs="標楷體" w:eastAsia="標楷體"/>
          <w:sz w:val="24"/>
          <w:szCs w:val="24"/>
        </w:rPr>
      </w:pPr>
    </w:p>
    <w:p>
      <w:pPr>
        <w:tabs>
          <w:tab w:pos="982" w:val="left" w:leader="none"/>
          <w:tab w:pos="1544" w:val="left" w:leader="none"/>
        </w:tabs>
        <w:spacing w:before="0"/>
        <w:ind w:left="0" w:right="0" w:firstLine="0"/>
        <w:jc w:val="center"/>
        <w:rPr>
          <w:rFonts w:ascii="Wingdings 2" w:hAnsi="Wingdings 2" w:cs="Wingdings 2" w:eastAsia="Wingdings 2"/>
          <w:sz w:val="28"/>
          <w:szCs w:val="28"/>
        </w:rPr>
      </w:pPr>
      <w:r>
        <w:rPr>
          <w:rFonts w:ascii="Wingdings 2" w:hAnsi="Wingdings 2" w:cs="Wingdings 2" w:eastAsia="Wingdings 2"/>
          <w:b/>
          <w:bCs/>
          <w:sz w:val="28"/>
          <w:szCs w:val="28"/>
        </w:rPr>
        <w:t></w:t>
      </w:r>
      <w:r>
        <w:rPr>
          <w:rFonts w:ascii="Wingdings 2" w:hAnsi="Wingdings 2" w:cs="Wingdings 2" w:eastAsia="Wingdings 2"/>
          <w:b/>
          <w:bCs/>
          <w:spacing w:val="-141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b/>
          <w:bCs/>
          <w:spacing w:val="-141"/>
          <w:sz w:val="28"/>
          <w:szCs w:val="28"/>
        </w:rPr>
      </w:r>
      <w:r>
        <w:rPr>
          <w:rFonts w:ascii="標楷體" w:hAnsi="標楷體" w:cs="標楷體" w:eastAsia="標楷體"/>
          <w:b/>
          <w:bCs/>
          <w:sz w:val="28"/>
          <w:szCs w:val="28"/>
        </w:rPr>
        <w:t>議</w:t>
        <w:tab/>
      </w:r>
      <w:r>
        <w:rPr>
          <w:rFonts w:ascii="標楷體" w:hAnsi="標楷體" w:cs="標楷體" w:eastAsia="標楷體"/>
          <w:b/>
          <w:bCs/>
          <w:w w:val="95"/>
          <w:sz w:val="28"/>
          <w:szCs w:val="28"/>
        </w:rPr>
        <w:t>程</w:t>
        <w:tab/>
      </w:r>
      <w:r>
        <w:rPr>
          <w:rFonts w:ascii="標楷體" w:hAnsi="標楷體" w:cs="標楷體" w:eastAsia="標楷體"/>
          <w:b/>
          <w:bCs/>
          <w:sz w:val="28"/>
          <w:szCs w:val="28"/>
        </w:rPr>
        <w:t>表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 </w:t>
      </w:r>
      <w:r>
        <w:rPr>
          <w:rFonts w:ascii="Wingdings 2" w:hAnsi="Wingdings 2" w:cs="Wingdings 2" w:eastAsia="Wingdings 2"/>
          <w:sz w:val="28"/>
          <w:szCs w:val="28"/>
        </w:rPr>
        <w:t></w:t>
      </w:r>
    </w:p>
    <w:p>
      <w:pPr>
        <w:spacing w:line="240" w:lineRule="auto" w:before="9"/>
        <w:rPr>
          <w:rFonts w:ascii="Wingdings 2" w:hAnsi="Wingdings 2" w:cs="Wingdings 2" w:eastAsia="Wingdings 2"/>
          <w:sz w:val="3"/>
          <w:szCs w:val="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945"/>
        <w:gridCol w:w="2950"/>
        <w:gridCol w:w="2952"/>
      </w:tblGrid>
      <w:tr>
        <w:trPr>
          <w:trHeight w:val="57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62" w:val="left" w:leader="none"/>
              </w:tabs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20" w:val="left" w:leader="none"/>
              </w:tabs>
              <w:spacing w:line="240" w:lineRule="auto" w:before="88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議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686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08：30-09：00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60" w:val="left" w:leader="none"/>
              </w:tabs>
              <w:spacing w:line="319" w:lineRule="exact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報</w:t>
              <w:tab/>
              <w:t>到</w:t>
            </w:r>
          </w:p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地點：行政大樓六樓國際會議室</w:t>
            </w:r>
          </w:p>
        </w:tc>
      </w:tr>
      <w:tr>
        <w:trPr>
          <w:trHeight w:val="104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2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09：00-09：10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297" w:val="left" w:leader="none"/>
                <w:tab w:pos="5027" w:val="left" w:leader="none"/>
              </w:tabs>
              <w:spacing w:line="275" w:lineRule="exact"/>
              <w:ind w:left="2197" w:right="0" w:firstLine="137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</w:t>
              <w:tab/>
              <w:t>幕</w:t>
              <w:tab/>
              <w:t>式</w:t>
            </w:r>
          </w:p>
          <w:p>
            <w:pPr>
              <w:pStyle w:val="TableParagraph"/>
              <w:tabs>
                <w:tab w:pos="2924" w:val="left" w:leader="none"/>
              </w:tabs>
              <w:spacing w:line="275" w:lineRule="auto" w:before="22"/>
              <w:ind w:left="2202" w:right="2195" w:hanging="5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主席致詞：國立高雄餐旅大學 林玥秀校長 地</w:t>
              <w:tab/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點：行政大樓六樓國際會議室</w:t>
            </w:r>
          </w:p>
        </w:tc>
      </w:tr>
      <w:tr>
        <w:trPr>
          <w:trHeight w:val="370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Wingdings 2" w:hAnsi="Wingdings 2" w:cs="Wingdings 2" w:eastAsia="Wingdings 2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09：10-10：40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99" w:lineRule="exact"/>
              <w:ind w:right="118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專題演講(一)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1850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79" w:val="left" w:leader="none"/>
              </w:tabs>
              <w:spacing w:line="351" w:lineRule="auto" w:before="102"/>
              <w:ind w:left="1597" w:right="1595" w:firstLine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題</w:t>
              <w:tab/>
              <w:t>目：日本の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Hospitality and Tourism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演講人：日本文京學院大學外國語學部 千葉隆一教授 主持人：社團法人台灣應用日語學會蔡錦雀理事長</w:t>
            </w:r>
          </w:p>
          <w:p>
            <w:pPr>
              <w:pStyle w:val="TableParagraph"/>
              <w:tabs>
                <w:tab w:pos="2617" w:val="left" w:leader="none"/>
              </w:tabs>
              <w:spacing w:line="240" w:lineRule="auto" w:before="35"/>
              <w:ind w:left="213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地</w:t>
              <w:tab/>
              <w:t>點：行政大樓六樓國際會議室</w:t>
            </w:r>
          </w:p>
        </w:tc>
      </w:tr>
      <w:tr>
        <w:trPr>
          <w:trHeight w:val="370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 2" w:hAnsi="Wingdings 2" w:cs="Wingdings 2" w:eastAsia="Wingdings 2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10：40-12：10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99" w:lineRule="exact"/>
              <w:ind w:right="118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專題演講(二)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311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8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題</w:t>
              <w:tab/>
              <w:t>目：「帝国ホテルで学んだ無限リピート接客術」</w:t>
            </w:r>
          </w:p>
          <w:p>
            <w:pPr>
              <w:pStyle w:val="TableParagraph"/>
              <w:spacing w:line="352" w:lineRule="auto" w:before="144"/>
              <w:ind w:left="1657" w:right="165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～ビジネスを超えたおもてなしを～ 演講人：オフィスＲａｎ代表 福本衣李子先生 主持人：國立高雄餐旅大學應用日語系王珍妮系主任</w:t>
            </w:r>
          </w:p>
          <w:p>
            <w:pPr>
              <w:pStyle w:val="TableParagraph"/>
              <w:tabs>
                <w:tab w:pos="479" w:val="left" w:leader="none"/>
              </w:tabs>
              <w:spacing w:line="240" w:lineRule="auto" w:before="32"/>
              <w:ind w:right="17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地</w:t>
              <w:tab/>
              <w:t>點：行政大樓六樓國際會議室</w:t>
            </w:r>
          </w:p>
        </w:tc>
      </w:tr>
      <w:tr>
        <w:trPr>
          <w:trHeight w:val="754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Wingdings 2" w:hAnsi="Wingdings 2" w:cs="Wingdings 2" w:eastAsia="Wingdings 2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12：10-13：30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8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21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1.午餐時間（國際大樓二樓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H203）</w:t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2.社團法人台灣應用日語學會第七屆第二次會員大會（行政大樓六樓行政會議室）</w:t>
            </w:r>
          </w:p>
        </w:tc>
      </w:tr>
      <w:tr>
        <w:trPr>
          <w:trHeight w:val="567" w:hRule="exact"/>
        </w:trPr>
        <w:tc>
          <w:tcPr>
            <w:tcW w:w="102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83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論</w:t>
            </w:r>
            <w:r>
              <w:rPr>
                <w:rFonts w:ascii="標楷體" w:hAnsi="標楷體" w:cs="標楷體" w:eastAsia="標楷體"/>
                <w:b/>
                <w:bCs/>
                <w:spacing w:val="3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文</w:t>
            </w:r>
            <w:r>
              <w:rPr>
                <w:rFonts w:ascii="標楷體" w:hAnsi="標楷體" w:cs="標楷體" w:eastAsia="標楷體"/>
                <w:b/>
                <w:bCs/>
                <w:spacing w:val="3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發</w:t>
            </w:r>
            <w:r>
              <w:rPr>
                <w:rFonts w:ascii="標楷體" w:hAnsi="標楷體" w:cs="標楷體" w:eastAsia="標楷體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表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635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18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會場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76" w:lineRule="exact"/>
              <w:ind w:right="79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A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場地</w:t>
            </w:r>
          </w:p>
          <w:p>
            <w:pPr>
              <w:pStyle w:val="TableParagraph"/>
              <w:spacing w:line="313" w:lineRule="exact"/>
              <w:ind w:right="79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國際大樓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H202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76" w:lineRule="exact"/>
              <w:ind w:left="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B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場地</w:t>
            </w:r>
          </w:p>
          <w:p>
            <w:pPr>
              <w:pStyle w:val="TableParagraph"/>
              <w:spacing w:line="313" w:lineRule="exact"/>
              <w:ind w:left="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國際大樓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H206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76" w:lineRule="exact"/>
              <w:ind w:right="76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C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場地</w:t>
            </w:r>
          </w:p>
          <w:p>
            <w:pPr>
              <w:pStyle w:val="TableParagraph"/>
              <w:spacing w:line="313" w:lineRule="exact"/>
              <w:ind w:right="76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國際大樓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H207</w:t>
            </w:r>
          </w:p>
        </w:tc>
      </w:tr>
      <w:tr>
        <w:trPr>
          <w:trHeight w:val="890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104"/>
              <w:ind w:left="301" w:right="26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主持人兼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評論人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陳美玲</w:t>
            </w:r>
          </w:p>
          <w:p>
            <w:pPr>
              <w:pStyle w:val="TableParagraph"/>
              <w:spacing w:line="260" w:lineRule="exact" w:before="17"/>
              <w:ind w:left="467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東吳大學日本語文學系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黃招憲</w:t>
            </w:r>
          </w:p>
          <w:p>
            <w:pPr>
              <w:pStyle w:val="TableParagraph"/>
              <w:spacing w:line="260" w:lineRule="exact" w:before="17"/>
              <w:ind w:left="392" w:right="342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臺北城市科技大學餐飲系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講座教授兼民生學院院長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蔡明興</w:t>
            </w:r>
          </w:p>
          <w:p>
            <w:pPr>
              <w:pStyle w:val="TableParagraph"/>
              <w:spacing w:line="260" w:lineRule="exact" w:before="41"/>
              <w:ind w:left="572" w:right="565" w:hanging="1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國立台北大學</w:t>
            </w:r>
            <w:r>
              <w:rPr>
                <w:rFonts w:ascii="標楷體" w:hAnsi="標楷體" w:cs="標楷體" w:eastAsia="標楷體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應用外語學系副教授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</w:tbl>
    <w:p>
      <w:pPr>
        <w:spacing w:after="0" w:line="260" w:lineRule="exact"/>
        <w:jc w:val="center"/>
        <w:rPr>
          <w:rFonts w:ascii="標楷體" w:hAnsi="標楷體" w:cs="標楷體" w:eastAsia="標楷體"/>
          <w:sz w:val="20"/>
          <w:szCs w:val="20"/>
        </w:rPr>
        <w:sectPr>
          <w:type w:val="continuous"/>
          <w:pgSz w:w="11910" w:h="16840"/>
          <w:pgMar w:top="1040" w:bottom="280" w:left="720" w:right="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945"/>
        <w:gridCol w:w="2950"/>
        <w:gridCol w:w="2950"/>
      </w:tblGrid>
      <w:tr>
        <w:trPr>
          <w:trHeight w:val="314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13：30-14：00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21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4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82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尾崎學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78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開南大學應用日語學系副教授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121" w:right="0" w:hanging="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木村誠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7"/>
              <w:ind w:left="121" w:right="414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小松短期大學地域創造學科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5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三樹陽介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62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日本學術振興會特別研究員</w:t>
            </w:r>
            <w:r>
              <w:rPr>
                <w:rFonts w:ascii="標楷體" w:hAnsi="標楷體" w:cs="標楷體" w:eastAsia="標楷體"/>
                <w:spacing w:val="-7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59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／國立國語研究所</w:t>
            </w:r>
          </w:p>
        </w:tc>
      </w:tr>
      <w:tr>
        <w:trPr>
          <w:trHeight w:val="24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193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01" w:val="left" w:leader="none"/>
              </w:tabs>
              <w:spacing w:line="237" w:lineRule="auto" w:before="25"/>
              <w:ind w:left="102" w:right="19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ビジネス日本語メールに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おける指導と効果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104" w:right="0" w:firstLine="16"/>
              <w:jc w:val="both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 </w:t>
            </w:r>
            <w:r>
              <w:rPr>
                <w:rFonts w:ascii="標楷體" w:hAnsi="標楷體" w:cs="標楷體" w:eastAsia="標楷體"/>
                <w:b/>
                <w:bCs/>
                <w:color w:val="9900CC"/>
                <w:spacing w:val="57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2" w:lineRule="exact" w:before="14"/>
              <w:ind w:left="104" w:right="19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ホスピタリティ教育にお ける地域と連携したバリ アフリー活動の導入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17" w:lineRule="exact"/>
              <w:ind w:left="104" w:right="0" w:hanging="1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2" w:lineRule="exact" w:before="14"/>
              <w:ind w:left="104" w:right="18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八丈語が保存する古代日 本語の特徴</w:t>
            </w:r>
          </w:p>
        </w:tc>
      </w:tr>
      <w:tr>
        <w:trPr>
          <w:trHeight w:val="84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83"/>
              <w:ind w:left="301" w:right="26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主持人兼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評論人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黃意雯</w:t>
            </w:r>
          </w:p>
          <w:p>
            <w:pPr>
              <w:pStyle w:val="TableParagraph"/>
              <w:spacing w:line="240" w:lineRule="auto" w:before="4"/>
              <w:ind w:left="366" w:right="3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文藻外語大學日本語文系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王長龍</w:t>
            </w:r>
          </w:p>
          <w:p>
            <w:pPr>
              <w:pStyle w:val="TableParagraph"/>
              <w:spacing w:line="240" w:lineRule="auto" w:before="4"/>
              <w:ind w:left="371" w:right="3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文藻外語大學日本語文系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exact"/>
              <w:ind w:left="10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董莊敬</w:t>
            </w:r>
          </w:p>
          <w:p>
            <w:pPr>
              <w:pStyle w:val="TableParagraph"/>
              <w:spacing w:line="240" w:lineRule="auto" w:before="4"/>
              <w:ind w:left="387" w:right="34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文藻外語大學日本語文系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14:00-14：30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25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王淑治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吳鎮宏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311" w:lineRule="exact" w:before="14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桑澤悟史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國立澎湖科技大學觀光休閒系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早稻田大學教育學研究科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6" w:lineRule="exact" w:before="6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吳鳳科技大學應用日語系</w:t>
            </w:r>
          </w:p>
        </w:tc>
      </w:tr>
      <w:tr>
        <w:trPr>
          <w:trHeight w:val="263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博士課程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7" w:lineRule="exact" w:before="6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</w:p>
        </w:tc>
      </w:tr>
      <w:tr>
        <w:trPr>
          <w:trHeight w:val="231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林麗娟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國立嘉義大學外國語言學系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584" w:val="left" w:leader="none"/>
              </w:tabs>
              <w:spacing w:line="235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w w:val="95"/>
                <w:sz w:val="24"/>
                <w:szCs w:val="24"/>
              </w:rPr>
              <w:t>題</w:t>
              <w:tab/>
            </w:r>
            <w:r>
              <w:rPr>
                <w:rFonts w:ascii="標楷體" w:hAnsi="標楷體" w:cs="標楷體" w:eastAsia="標楷體"/>
                <w:b/>
                <w:bCs/>
                <w:color w:val="9900CC"/>
                <w:sz w:val="24"/>
                <w:szCs w:val="24"/>
              </w:rPr>
              <w:t>目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86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日本における地域資源を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98" w:lineRule="exact"/>
              <w:ind w:left="12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現代社会における個人の</w:t>
            </w:r>
          </w:p>
        </w:tc>
      </w:tr>
      <w:tr>
        <w:trPr>
          <w:trHeight w:val="114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1" w:val="left" w:leader="none"/>
              </w:tabs>
              <w:spacing w:line="238" w:lineRule="auto" w:before="197"/>
              <w:ind w:left="104" w:right="186" w:hanging="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マルチメディア教材の開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発をめぐって－日本語初</w:t>
            </w:r>
          </w:p>
        </w:tc>
        <w:tc>
          <w:tcPr>
            <w:tcW w:w="29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活用したインバウンド誘</w:t>
            </w:r>
          </w:p>
          <w:p>
            <w:pPr>
              <w:pStyle w:val="TableParagraph"/>
              <w:spacing w:line="313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致と受入れの実態</w:t>
            </w:r>
          </w:p>
        </w:tc>
        <w:tc>
          <w:tcPr>
            <w:tcW w:w="2950" w:type="dxa"/>
            <w:vMerge w:val="restart"/>
            <w:tcBorders>
              <w:top w:val="nil" w:sz="6" w:space="0" w:color="auto"/>
              <w:left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99" w:lineRule="exact"/>
              <w:ind w:left="11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行動の源泉に関する考察</w:t>
            </w:r>
          </w:p>
          <w:p>
            <w:pPr>
              <w:pStyle w:val="TableParagraph"/>
              <w:spacing w:line="312" w:lineRule="exact" w:before="15"/>
              <w:ind w:left="114" w:right="17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―外部からの力・自省的 な能力の観点から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心者向けの平仮名清音を</w:t>
            </w:r>
          </w:p>
        </w:tc>
        <w:tc>
          <w:tcPr>
            <w:tcW w:w="29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/>
            <w:tcBorders>
              <w:left w:val="single" w:sz="5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中心に－</w:t>
            </w:r>
          </w:p>
        </w:tc>
        <w:tc>
          <w:tcPr>
            <w:tcW w:w="29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89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75"/>
              <w:ind w:left="15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14:30-15:00</w:t>
            </w:r>
          </w:p>
        </w:tc>
        <w:tc>
          <w:tcPr>
            <w:tcW w:w="8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"/>
              <w:ind w:right="95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茶</w:t>
            </w:r>
            <w:r>
              <w:rPr>
                <w:rFonts w:ascii="標楷體" w:hAnsi="標楷體" w:cs="標楷體" w:eastAsia="標楷體"/>
                <w:b/>
                <w:bCs/>
                <w:spacing w:val="3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敘</w:t>
            </w:r>
            <w:r>
              <w:rPr>
                <w:rFonts w:ascii="標楷體" w:hAnsi="標楷體" w:cs="標楷體" w:eastAsia="標楷體"/>
                <w:b/>
                <w:bCs/>
                <w:spacing w:val="3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right="948"/>
              <w:jc w:val="center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spacing w:val="-1"/>
                <w:sz w:val="22"/>
                <w:szCs w:val="22"/>
              </w:rPr>
              <w:t>地點：國際大樓</w:t>
            </w:r>
            <w:r>
              <w:rPr>
                <w:rFonts w:ascii="標楷體" w:hAnsi="標楷體" w:cs="標楷體" w:eastAsia="標楷體"/>
                <w:b/>
                <w:bCs/>
                <w:spacing w:val="-56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2"/>
                <w:szCs w:val="22"/>
              </w:rPr>
              <w:t>H203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84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83"/>
              <w:ind w:left="301" w:right="26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主持人兼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評論人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77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盧錦姬</w:t>
            </w:r>
          </w:p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靜宜大學日本語文學系教授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曾煥棋</w:t>
            </w:r>
          </w:p>
          <w:p>
            <w:pPr>
              <w:pStyle w:val="TableParagraph"/>
              <w:spacing w:line="260" w:lineRule="exact" w:before="20"/>
              <w:ind w:left="471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靜宜大學日本語文學系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王福順</w:t>
            </w:r>
          </w:p>
          <w:p>
            <w:pPr>
              <w:pStyle w:val="TableParagraph"/>
              <w:spacing w:line="260" w:lineRule="exact" w:before="20"/>
              <w:ind w:left="368" w:right="365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修平科技大學應用日語系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294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3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15:00-15：30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4" w:lineRule="exact"/>
              <w:ind w:left="119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0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黃幸素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吳岳樺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11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林琪禎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2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義守大學應用日語學系副教授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2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國立高雄餐旅大學應用日語系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32" w:lineRule="exact"/>
              <w:ind w:left="119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和春技術學院應用外語系</w:t>
            </w:r>
          </w:p>
        </w:tc>
      </w:tr>
      <w:tr>
        <w:trPr>
          <w:trHeight w:val="26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29" w:lineRule="exact"/>
              <w:ind w:left="119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</w:p>
        </w:tc>
      </w:tr>
      <w:tr>
        <w:trPr>
          <w:trHeight w:val="58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57" w:lineRule="exact"/>
              <w:ind w:left="20" w:right="0" w:firstLine="84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2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日本語学習者の読解プロ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03" w:val="left" w:leader="none"/>
              </w:tabs>
              <w:spacing w:line="240" w:lineRule="auto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03" w:val="left" w:leader="none"/>
              </w:tabs>
              <w:spacing w:line="240" w:lineRule="auto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13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3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セス－義守大学の学習者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日本を訪れる外国人観光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近代化と時代性のせめぎ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2" w:lineRule="exact"/>
              <w:ind w:left="3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を例として－</w:t>
            </w:r>
          </w:p>
        </w:tc>
        <w:tc>
          <w:tcPr>
            <w:tcW w:w="29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客の現状と課題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0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あい－戦時期日本教育の</w:t>
            </w:r>
          </w:p>
        </w:tc>
      </w:tr>
      <w:tr>
        <w:trPr>
          <w:trHeight w:val="286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0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イデオロギーとその矛盾</w:t>
            </w:r>
          </w:p>
        </w:tc>
      </w:tr>
      <w:tr>
        <w:trPr>
          <w:trHeight w:val="31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－</w:t>
            </w:r>
          </w:p>
        </w:tc>
      </w:tr>
      <w:tr>
        <w:trPr>
          <w:trHeight w:val="84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83"/>
              <w:ind w:left="301" w:right="26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主持人兼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評論人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鄧美華</w:t>
            </w:r>
          </w:p>
          <w:p>
            <w:pPr>
              <w:pStyle w:val="TableParagraph"/>
              <w:spacing w:line="240" w:lineRule="auto" w:before="3"/>
              <w:ind w:left="366" w:right="3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南台科技大學應用日語系</w:t>
            </w:r>
            <w:r>
              <w:rPr>
                <w:rFonts w:ascii="標楷體" w:hAnsi="標楷體" w:cs="標楷體" w:eastAsia="標楷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副教授兼系主任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釋依昱</w:t>
            </w:r>
          </w:p>
          <w:p>
            <w:pPr>
              <w:pStyle w:val="TableParagraph"/>
              <w:spacing w:line="240" w:lineRule="auto" w:before="3"/>
              <w:ind w:left="471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義守大學應用日語學系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劉伯雯</w:t>
            </w:r>
          </w:p>
          <w:p>
            <w:pPr>
              <w:pStyle w:val="TableParagraph"/>
              <w:spacing w:line="240" w:lineRule="auto" w:before="3"/>
              <w:ind w:left="469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國立高雄第一科技大學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應用日語系副教授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15：30-16：00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6600CC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6600CC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2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0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張瓊瑜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前川正名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黃幼欣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2" w:lineRule="exact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國立台中科技大學應用日語系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2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國立高雄餐旅大學應用日語系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32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南臺科技大學應用日語系</w:t>
            </w:r>
          </w:p>
        </w:tc>
      </w:tr>
      <w:tr>
        <w:trPr>
          <w:trHeight w:val="37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</w:p>
        </w:tc>
      </w:tr>
      <w:tr>
        <w:trPr>
          <w:trHeight w:val="42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1" w:val="left" w:leader="none"/>
              </w:tabs>
              <w:spacing w:line="240" w:lineRule="auto" w:before="75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40" w:lineRule="auto" w:before="121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40" w:lineRule="auto" w:before="121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39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台湾における中国語系日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8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日本語学科における茶道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98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日本統治下台湾における</w:t>
            </w:r>
          </w:p>
        </w:tc>
      </w:tr>
    </w:tbl>
    <w:p>
      <w:pPr>
        <w:spacing w:after="0" w:line="298" w:lineRule="exact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top="1040" w:bottom="280" w:left="720" w:right="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945"/>
        <w:gridCol w:w="2950"/>
        <w:gridCol w:w="2947"/>
      </w:tblGrid>
      <w:tr>
        <w:trPr>
          <w:trHeight w:val="319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本語学習者の日本語の事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教育その三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高砂族青年会の社会事業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態描写－自動詞表現・他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国立高雄餐旅大学を例と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への参与－1929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年の内地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動詞表現・受身表現の習</w:t>
            </w:r>
          </w:p>
        </w:tc>
        <w:tc>
          <w:tcPr>
            <w:tcW w:w="29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して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社会事業視察団記録をみ</w:t>
            </w:r>
          </w:p>
        </w:tc>
      </w:tr>
      <w:tr>
        <w:trPr>
          <w:trHeight w:val="31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得について－</w:t>
            </w:r>
          </w:p>
        </w:tc>
        <w:tc>
          <w:tcPr>
            <w:tcW w:w="29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て－</w:t>
            </w:r>
          </w:p>
        </w:tc>
      </w:tr>
      <w:tr>
        <w:trPr>
          <w:trHeight w:val="842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83"/>
              <w:ind w:left="342" w:right="220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主持人兼</w:t>
            </w:r>
            <w:r>
              <w:rPr>
                <w:rFonts w:ascii="標楷體" w:hAnsi="標楷體" w:cs="標楷體" w:eastAsia="標楷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評論人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劉秋燕</w:t>
            </w:r>
          </w:p>
          <w:p>
            <w:pPr>
              <w:pStyle w:val="TableParagraph"/>
              <w:spacing w:line="240" w:lineRule="auto" w:before="3"/>
              <w:ind w:left="467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屏東大學應用日語學系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林明煌</w:t>
            </w:r>
          </w:p>
          <w:p>
            <w:pPr>
              <w:pStyle w:val="TableParagraph"/>
              <w:spacing w:line="240" w:lineRule="auto" w:before="3"/>
              <w:ind w:left="471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嘉義大學師資培育中心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山下訓儀</w:t>
            </w:r>
          </w:p>
          <w:p>
            <w:pPr>
              <w:pStyle w:val="TableParagraph"/>
              <w:spacing w:line="240" w:lineRule="auto" w:before="3"/>
              <w:ind w:left="469" w:right="464"/>
              <w:jc w:val="center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w w:val="95"/>
                <w:sz w:val="20"/>
                <w:szCs w:val="20"/>
              </w:rPr>
              <w:t>實踐大學應用日文學系</w:t>
            </w:r>
            <w:r>
              <w:rPr>
                <w:rFonts w:ascii="標楷體" w:hAnsi="標楷體" w:cs="標楷體" w:eastAsia="標楷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助理教授兼系主任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</w:tr>
      <w:tr>
        <w:trPr>
          <w:trHeight w:val="311" w:hRule="exact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-10"/>
                <w:sz w:val="20"/>
                <w:szCs w:val="20"/>
              </w:rPr>
              <w:t>16：00-16：30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19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sz w:val="22"/>
                <w:szCs w:val="22"/>
              </w:rPr>
              <w:t>發表人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</w:tc>
      </w:tr>
      <w:tr>
        <w:trPr>
          <w:trHeight w:val="327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1" w:lineRule="exact" w:before="15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何世雄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山本洋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11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廣野聰子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6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6" w:lineRule="exact" w:before="6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中台科技大學應用外語系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pacing w:val="11"/>
                <w:sz w:val="20"/>
                <w:szCs w:val="20"/>
              </w:rPr>
              <w:t>金澤大學國際機構留學生中心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19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早稻田大學教育學研究科</w:t>
            </w:r>
          </w:p>
        </w:tc>
      </w:tr>
      <w:tr>
        <w:trPr>
          <w:trHeight w:val="399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助理教授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04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副教授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19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博士課程</w:t>
            </w:r>
          </w:p>
        </w:tc>
      </w:tr>
      <w:tr>
        <w:trPr>
          <w:trHeight w:val="718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1" w:val="left" w:leader="none"/>
              </w:tabs>
              <w:spacing w:line="285" w:lineRule="exact" w:before="93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新旧日本語能力試験の語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287" w:lineRule="exact" w:before="64"/>
              <w:ind w:left="104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3" w:lineRule="exact"/>
              <w:ind w:left="104" w:right="-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留学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生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と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日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本人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学生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を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対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287" w:lineRule="exact" w:before="100"/>
              <w:ind w:left="119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b/>
                <w:bCs/>
                <w:color w:val="9900CC"/>
                <w:sz w:val="22"/>
                <w:szCs w:val="22"/>
              </w:rPr>
              <w:t>題</w:t>
              <w:tab/>
              <w:t>目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</w:r>
          </w:p>
          <w:p>
            <w:pPr>
              <w:pStyle w:val="TableParagraph"/>
              <w:spacing w:line="313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植民地期台湾における私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彙の比較研究</w:t>
            </w:r>
            <w:r>
              <w:rPr>
                <w:rFonts w:ascii="標楷體" w:hAnsi="標楷體" w:cs="標楷體" w:eastAsia="標楷體"/>
                <w:spacing w:val="-7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N1</w:t>
            </w:r>
            <w:r>
              <w:rPr>
                <w:rFonts w:ascii="標楷體" w:hAnsi="標楷體" w:cs="標楷體" w:eastAsia="標楷體"/>
                <w:spacing w:val="-7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と１級を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8" w:lineRule="exact"/>
              <w:ind w:left="104" w:right="-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象と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し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た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ジ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ョイ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ント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ク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ラ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鉄沿線開発に関する一考</w:t>
            </w:r>
          </w:p>
        </w:tc>
      </w:tr>
      <w:tr>
        <w:trPr>
          <w:trHeight w:val="312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対象に</w:t>
            </w:r>
          </w:p>
        </w:tc>
        <w:tc>
          <w:tcPr>
            <w:tcW w:w="29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8" w:lineRule="exact"/>
              <w:ind w:left="104" w:right="-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スに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お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け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る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英語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使用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対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察－台北鉄道による台北</w:t>
            </w:r>
          </w:p>
        </w:tc>
      </w:tr>
      <w:tr>
        <w:trPr>
          <w:trHeight w:val="330" w:hRule="exact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する学生の意識</w:t>
            </w:r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郊外の行楽地開発を中心</w:t>
            </w:r>
          </w:p>
        </w:tc>
      </w:tr>
      <w:tr>
        <w:trPr>
          <w:trHeight w:val="317" w:hRule="exact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4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に－</w:t>
            </w:r>
          </w:p>
        </w:tc>
      </w:tr>
      <w:tr>
        <w:trPr>
          <w:trHeight w:val="578" w:hRule="exact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20"/>
              <w:ind w:left="452" w:right="0"/>
              <w:jc w:val="left"/>
              <w:rPr>
                <w:rFonts w:ascii="標楷體" w:hAnsi="標楷體" w:cs="標楷體" w:eastAsia="標楷體"/>
                <w:sz w:val="20"/>
                <w:szCs w:val="20"/>
              </w:rPr>
            </w:pPr>
            <w:r>
              <w:rPr>
                <w:rFonts w:ascii="標楷體"/>
                <w:sz w:val="20"/>
              </w:rPr>
              <w:t>16:30</w:t>
            </w:r>
          </w:p>
        </w:tc>
        <w:tc>
          <w:tcPr>
            <w:tcW w:w="8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34" w:val="left" w:leader="none"/>
              </w:tabs>
              <w:spacing w:line="240" w:lineRule="auto" w:before="88"/>
              <w:ind w:left="14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</w:t>
              <w:tab/>
              <w:t>歸</w:t>
            </w:r>
          </w:p>
        </w:tc>
      </w:tr>
    </w:tbl>
    <w:sectPr>
      <w:pgSz w:w="11910" w:h="16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412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2016-05-18T16:21:20Z</dcterms:created>
  <dcterms:modified xsi:type="dcterms:W3CDTF">2016-05-18T16:21:20Z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2016-05-18T00:00:00Z</vt:filetime>
  </property>
</Properties>
</file>