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08" w:rsidRPr="00EE4208" w:rsidRDefault="00EE4208" w:rsidP="00DD0EE8">
      <w:pPr>
        <w:spacing w:line="400" w:lineRule="exact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bookmarkStart w:id="0" w:name="_GoBack"/>
      <w:bookmarkEnd w:id="0"/>
      <w:r w:rsidRPr="00EE4208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105全國微積分題庫平台種子教師助教培訓工作坊</w:t>
      </w:r>
    </w:p>
    <w:p w:rsidR="00EE4208" w:rsidRPr="00EE4208" w:rsidRDefault="00EE4208" w:rsidP="00DD0EE8">
      <w:pPr>
        <w:spacing w:line="400" w:lineRule="exact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r w:rsidRPr="00EE4208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各區工作坊資訊</w:t>
      </w:r>
    </w:p>
    <w:p w:rsidR="00570D8E" w:rsidRPr="00EE4208" w:rsidRDefault="00BF7DEE">
      <w:pPr>
        <w:rPr>
          <w:rFonts w:ascii="標楷體" w:eastAsia="標楷體" w:hAnsi="標楷體" w:cs="Arial"/>
          <w:color w:val="222222"/>
          <w:kern w:val="0"/>
          <w:szCs w:val="24"/>
          <w:shd w:val="pct15" w:color="auto" w:fill="FFFFFF"/>
        </w:rPr>
      </w:pPr>
      <w:r w:rsidRPr="00EE4208">
        <w:rPr>
          <w:rFonts w:ascii="標楷體" w:eastAsia="標楷體" w:hAnsi="標楷體" w:cs="Arial" w:hint="eastAsia"/>
          <w:color w:val="222222"/>
          <w:kern w:val="0"/>
          <w:szCs w:val="24"/>
          <w:shd w:val="pct15" w:color="auto" w:fill="FFFFFF"/>
        </w:rPr>
        <w:t>緣起</w:t>
      </w:r>
    </w:p>
    <w:p w:rsidR="00BF7DEE" w:rsidRPr="00DD0EE8" w:rsidRDefault="009A3D6B" w:rsidP="00DD0EE8">
      <w:pPr>
        <w:spacing w:afterLines="50" w:after="1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　　</w:t>
      </w:r>
      <w:r w:rsidR="00656628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「微積分」是一套有用的計算方法，然而大量數學符號致使出題耗時費力，</w:t>
      </w:r>
      <w:r w:rsidR="0005786A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教育部委託</w:t>
      </w:r>
      <w:r w:rsidR="0005786A" w:rsidRPr="00EE4208">
        <w:rPr>
          <w:rFonts w:ascii="標楷體" w:eastAsia="標楷體" w:hAnsi="標楷體" w:hint="eastAsia"/>
          <w:szCs w:val="24"/>
        </w:rPr>
        <w:t>桃竹苗區域教學資源中心購置一套線上檢測教學平台(Maple TA)，並於系統中建置微積分考題題庫</w:t>
      </w:r>
      <w:r w:rsidR="0005786A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，</w:t>
      </w:r>
      <w:r w:rsidR="00656628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藉全國微積分題庫平台計畫達成整合各校題庫的目標，並透過種子教師和助教培訓工作坊推廣至全國</w:t>
      </w:r>
      <w:r w:rsidR="00BF7DEE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使用。</w:t>
      </w:r>
    </w:p>
    <w:p w:rsidR="0005786A" w:rsidRPr="00EE4208" w:rsidRDefault="00C87376">
      <w:pPr>
        <w:rPr>
          <w:rFonts w:ascii="標楷體" w:eastAsia="標楷體" w:hAnsi="標楷體" w:cs="Arial"/>
          <w:color w:val="222222"/>
          <w:kern w:val="0"/>
          <w:szCs w:val="24"/>
          <w:shd w:val="pct15" w:color="auto" w:fill="FFFFFF"/>
        </w:rPr>
      </w:pPr>
      <w:r w:rsidRPr="00EE4208">
        <w:rPr>
          <w:rFonts w:ascii="標楷體" w:eastAsia="標楷體" w:hAnsi="標楷體" w:cs="Arial" w:hint="eastAsia"/>
          <w:color w:val="222222"/>
          <w:kern w:val="0"/>
          <w:szCs w:val="24"/>
          <w:shd w:val="pct15" w:color="auto" w:fill="FFFFFF"/>
        </w:rPr>
        <w:t>平台特色</w:t>
      </w:r>
    </w:p>
    <w:p w:rsidR="00BF7DEE" w:rsidRPr="00680896" w:rsidRDefault="0005786A">
      <w:pPr>
        <w:rPr>
          <w:rFonts w:ascii="標楷體" w:eastAsia="標楷體" w:hAnsi="標楷體" w:cs="Arial"/>
          <w:b/>
          <w:color w:val="222222"/>
          <w:kern w:val="0"/>
          <w:szCs w:val="24"/>
          <w:u w:val="single"/>
        </w:rPr>
      </w:pPr>
      <w:r w:rsidRPr="00680896">
        <w:rPr>
          <w:rFonts w:ascii="標楷體" w:eastAsia="標楷體" w:hAnsi="標楷體" w:cs="Arial" w:hint="eastAsia"/>
          <w:b/>
          <w:color w:val="222222"/>
          <w:kern w:val="0"/>
          <w:szCs w:val="24"/>
          <w:u w:val="single"/>
        </w:rPr>
        <w:t>全國最大上線題庫</w:t>
      </w:r>
    </w:p>
    <w:p w:rsidR="00A363BE" w:rsidRPr="00EE4208" w:rsidRDefault="0005786A" w:rsidP="00DD0EE8">
      <w:pPr>
        <w:spacing w:afterLines="30" w:after="108"/>
        <w:rPr>
          <w:rFonts w:ascii="標楷體" w:eastAsia="標楷體" w:hAnsi="標楷體" w:cs="Arial"/>
          <w:color w:val="222222"/>
          <w:kern w:val="0"/>
          <w:szCs w:val="24"/>
        </w:rPr>
      </w:pPr>
      <w:r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12000多題</w:t>
      </w:r>
      <w:r w:rsidR="0045112C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按</w:t>
      </w:r>
      <w:r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題型</w:t>
      </w:r>
      <w:r w:rsidR="0045112C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分類</w:t>
      </w:r>
      <w:r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之database</w:t>
      </w:r>
      <w:r w:rsidR="0045112C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，好找、好使用。</w:t>
      </w:r>
    </w:p>
    <w:p w:rsidR="00A363BE" w:rsidRPr="00680896" w:rsidRDefault="00A363BE" w:rsidP="00A363BE">
      <w:pPr>
        <w:rPr>
          <w:rFonts w:ascii="標楷體" w:eastAsia="標楷體" w:hAnsi="標楷體" w:cs="Arial"/>
          <w:b/>
          <w:color w:val="222222"/>
          <w:kern w:val="0"/>
          <w:szCs w:val="24"/>
          <w:u w:val="single"/>
        </w:rPr>
      </w:pPr>
      <w:r w:rsidRPr="00680896">
        <w:rPr>
          <w:rFonts w:ascii="標楷體" w:eastAsia="標楷體" w:hAnsi="標楷體" w:cs="Arial" w:hint="eastAsia"/>
          <w:b/>
          <w:color w:val="222222"/>
          <w:kern w:val="0"/>
          <w:szCs w:val="24"/>
          <w:u w:val="single"/>
        </w:rPr>
        <w:t>體現微積分演算精神</w:t>
      </w:r>
    </w:p>
    <w:p w:rsidR="00C87376" w:rsidRPr="00DD0EE8" w:rsidRDefault="00A363BE" w:rsidP="00DD0EE8">
      <w:pPr>
        <w:spacing w:afterLines="30" w:after="108"/>
        <w:rPr>
          <w:rFonts w:ascii="標楷體" w:eastAsia="標楷體" w:hAnsi="標楷體" w:cs="Arial"/>
          <w:color w:val="222222"/>
          <w:kern w:val="0"/>
          <w:szCs w:val="24"/>
        </w:rPr>
      </w:pPr>
      <w:r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隨機變序、變數出題讓學生可反覆練習相同題型。</w:t>
      </w:r>
    </w:p>
    <w:p w:rsidR="0005786A" w:rsidRPr="00680896" w:rsidRDefault="0005786A">
      <w:pPr>
        <w:rPr>
          <w:rFonts w:ascii="標楷體" w:eastAsia="標楷體" w:hAnsi="標楷體" w:cs="Arial"/>
          <w:b/>
          <w:color w:val="222222"/>
          <w:kern w:val="0"/>
          <w:szCs w:val="24"/>
          <w:u w:val="single"/>
        </w:rPr>
      </w:pPr>
      <w:r w:rsidRPr="00680896">
        <w:rPr>
          <w:rFonts w:ascii="標楷體" w:eastAsia="標楷體" w:hAnsi="標楷體" w:cs="Arial" w:hint="eastAsia"/>
          <w:b/>
          <w:color w:val="222222"/>
          <w:kern w:val="0"/>
          <w:szCs w:val="24"/>
          <w:u w:val="single"/>
        </w:rPr>
        <w:t>最佳</w:t>
      </w:r>
      <w:r w:rsidR="00476E16" w:rsidRPr="00680896">
        <w:rPr>
          <w:rFonts w:ascii="標楷體" w:eastAsia="標楷體" w:hAnsi="標楷體" w:cs="Arial" w:hint="eastAsia"/>
          <w:b/>
          <w:color w:val="222222"/>
          <w:kern w:val="0"/>
          <w:szCs w:val="24"/>
          <w:u w:val="single"/>
        </w:rPr>
        <w:t>的</w:t>
      </w:r>
      <w:r w:rsidRPr="00680896">
        <w:rPr>
          <w:rFonts w:ascii="標楷體" w:eastAsia="標楷體" w:hAnsi="標楷體" w:cs="Arial" w:hint="eastAsia"/>
          <w:b/>
          <w:color w:val="222222"/>
          <w:kern w:val="0"/>
          <w:szCs w:val="24"/>
          <w:u w:val="single"/>
        </w:rPr>
        <w:t>翻轉教學工具</w:t>
      </w:r>
    </w:p>
    <w:p w:rsidR="0005786A" w:rsidRPr="00EE4208" w:rsidRDefault="0005786A" w:rsidP="00DD0EE8">
      <w:pPr>
        <w:spacing w:afterLines="30" w:after="108"/>
        <w:rPr>
          <w:rFonts w:ascii="標楷體" w:eastAsia="標楷體" w:hAnsi="標楷體" w:cs="Arial"/>
          <w:color w:val="222222"/>
          <w:kern w:val="0"/>
          <w:szCs w:val="24"/>
        </w:rPr>
      </w:pPr>
      <w:r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搭配</w:t>
      </w:r>
      <w:r w:rsidR="0045112C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實體或遠端課程的</w:t>
      </w:r>
      <w:r w:rsidR="00476E16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線上測驗和作業小幫手</w:t>
      </w:r>
      <w:r w:rsidR="0045112C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:rsidR="0005786A" w:rsidRPr="00680896" w:rsidRDefault="00476E16">
      <w:pPr>
        <w:rPr>
          <w:rFonts w:ascii="標楷體" w:eastAsia="標楷體" w:hAnsi="標楷體" w:cs="Arial"/>
          <w:b/>
          <w:color w:val="222222"/>
          <w:kern w:val="0"/>
          <w:szCs w:val="24"/>
          <w:u w:val="single"/>
        </w:rPr>
      </w:pPr>
      <w:r w:rsidRPr="00680896">
        <w:rPr>
          <w:rFonts w:ascii="標楷體" w:eastAsia="標楷體" w:hAnsi="標楷體" w:cs="Arial" w:hint="eastAsia"/>
          <w:b/>
          <w:color w:val="222222"/>
          <w:kern w:val="0"/>
          <w:szCs w:val="24"/>
          <w:u w:val="single"/>
        </w:rPr>
        <w:t>勾選拖曳即可輕鬆製卷</w:t>
      </w:r>
    </w:p>
    <w:p w:rsidR="0005786A" w:rsidRPr="00EE4208" w:rsidRDefault="00476E16" w:rsidP="00DD0EE8">
      <w:pPr>
        <w:spacing w:afterLines="30" w:after="108"/>
        <w:rPr>
          <w:rFonts w:ascii="標楷體" w:eastAsia="標楷體" w:hAnsi="標楷體" w:cs="Arial"/>
          <w:color w:val="222222"/>
          <w:kern w:val="0"/>
          <w:szCs w:val="24"/>
        </w:rPr>
      </w:pPr>
      <w:r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強力支援數學符號方程式</w:t>
      </w:r>
      <w:r w:rsidR="0045112C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，直覺性設計</w:t>
      </w:r>
      <w:r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讓您</w:t>
      </w:r>
      <w:r w:rsidR="00A363BE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簡易</w:t>
      </w:r>
      <w:r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操作</w:t>
      </w:r>
      <w:r w:rsidR="0045112C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:rsidR="0045112C" w:rsidRPr="00680896" w:rsidRDefault="00D52C34">
      <w:pPr>
        <w:rPr>
          <w:rFonts w:ascii="標楷體" w:eastAsia="標楷體" w:hAnsi="標楷體" w:cs="Arial"/>
          <w:b/>
          <w:color w:val="222222"/>
          <w:kern w:val="0"/>
          <w:szCs w:val="24"/>
          <w:u w:val="single"/>
        </w:rPr>
      </w:pPr>
      <w:r w:rsidRPr="00680896">
        <w:rPr>
          <w:rFonts w:ascii="標楷體" w:eastAsia="標楷體" w:hAnsi="標楷體" w:cs="Arial" w:hint="eastAsia"/>
          <w:b/>
          <w:color w:val="222222"/>
          <w:kern w:val="0"/>
          <w:szCs w:val="24"/>
          <w:u w:val="single"/>
        </w:rPr>
        <w:t>電腦</w:t>
      </w:r>
      <w:r w:rsidR="00206659" w:rsidRPr="00680896">
        <w:rPr>
          <w:rFonts w:ascii="標楷體" w:eastAsia="標楷體" w:hAnsi="標楷體" w:cs="Arial" w:hint="eastAsia"/>
          <w:b/>
          <w:color w:val="222222"/>
          <w:kern w:val="0"/>
          <w:szCs w:val="24"/>
          <w:u w:val="single"/>
        </w:rPr>
        <w:t>閱卷分析一次到位</w:t>
      </w:r>
    </w:p>
    <w:p w:rsidR="00D52C34" w:rsidRPr="00EE4208" w:rsidRDefault="00D52C34" w:rsidP="00DD0EE8">
      <w:pPr>
        <w:spacing w:afterLines="50" w:after="180"/>
        <w:rPr>
          <w:rFonts w:ascii="標楷體" w:eastAsia="標楷體" w:hAnsi="標楷體" w:cs="Arial"/>
          <w:color w:val="222222"/>
          <w:kern w:val="0"/>
          <w:szCs w:val="24"/>
        </w:rPr>
      </w:pPr>
      <w:r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自動批改及登錄成績，可追蹤測驗歷程並分析作答狀況。</w:t>
      </w:r>
    </w:p>
    <w:p w:rsidR="00BF7DEE" w:rsidRPr="00EE4208" w:rsidRDefault="00BF7DEE">
      <w:pPr>
        <w:rPr>
          <w:rFonts w:ascii="標楷體" w:eastAsia="標楷體" w:hAnsi="標楷體" w:cs="Arial"/>
          <w:color w:val="222222"/>
          <w:kern w:val="0"/>
          <w:szCs w:val="24"/>
          <w:shd w:val="pct15" w:color="auto" w:fill="FFFFFF"/>
        </w:rPr>
      </w:pPr>
      <w:r w:rsidRPr="00EE4208">
        <w:rPr>
          <w:rFonts w:ascii="標楷體" w:eastAsia="標楷體" w:hAnsi="標楷體" w:cs="Arial" w:hint="eastAsia"/>
          <w:color w:val="222222"/>
          <w:kern w:val="0"/>
          <w:szCs w:val="24"/>
          <w:shd w:val="pct15" w:color="auto" w:fill="FFFFFF"/>
        </w:rPr>
        <w:t>推廣對象</w:t>
      </w:r>
    </w:p>
    <w:p w:rsidR="00DD0EE8" w:rsidRDefault="00BA2F37" w:rsidP="00DD0EE8">
      <w:pPr>
        <w:spacing w:afterLines="50" w:after="1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全國</w:t>
      </w:r>
      <w:r w:rsidR="00570D8E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數學系</w:t>
      </w:r>
      <w:r w:rsidR="0088471C">
        <w:rPr>
          <w:rFonts w:ascii="標楷體" w:eastAsia="標楷體" w:hAnsi="標楷體" w:cs="Arial" w:hint="eastAsia"/>
          <w:color w:val="222222"/>
          <w:kern w:val="0"/>
          <w:szCs w:val="24"/>
        </w:rPr>
        <w:t>(或科)</w:t>
      </w:r>
      <w:r w:rsidR="00570D8E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，以及有</w:t>
      </w:r>
      <w:r w:rsidR="00DD0EE8">
        <w:rPr>
          <w:rFonts w:ascii="標楷體" w:eastAsia="標楷體" w:hAnsi="標楷體" w:cs="Arial" w:hint="eastAsia"/>
          <w:color w:val="222222"/>
          <w:kern w:val="0"/>
          <w:szCs w:val="24"/>
        </w:rPr>
        <w:t>興趣</w:t>
      </w:r>
      <w:r w:rsidR="00656628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使用</w:t>
      </w:r>
      <w:r w:rsidR="00570D8E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之單位</w:t>
      </w:r>
      <w:r w:rsidR="00EE4208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長官、同仁、</w:t>
      </w:r>
      <w:r w:rsidR="00570D8E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教師</w:t>
      </w:r>
      <w:r w:rsidR="00EE4208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和助教</w:t>
      </w:r>
      <w:r w:rsidR="00656628" w:rsidRPr="00EE4208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:rsidR="00DD0EE8" w:rsidRDefault="00DD0EE8" w:rsidP="00DD0EE8">
      <w:pPr>
        <w:rPr>
          <w:rFonts w:ascii="標楷體" w:eastAsia="標楷體" w:hAnsi="標楷體" w:cs="Arial"/>
          <w:color w:val="222222"/>
          <w:kern w:val="0"/>
          <w:szCs w:val="24"/>
          <w:shd w:val="pct15" w:color="auto" w:fill="FFFFFF"/>
        </w:rPr>
      </w:pPr>
      <w:r w:rsidRPr="00DD0EE8">
        <w:rPr>
          <w:rFonts w:ascii="標楷體" w:eastAsia="標楷體" w:hAnsi="標楷體" w:cs="Arial" w:hint="eastAsia"/>
          <w:color w:val="222222"/>
          <w:kern w:val="0"/>
          <w:szCs w:val="24"/>
          <w:shd w:val="pct15" w:color="auto" w:fill="FFFFFF"/>
        </w:rPr>
        <w:t>培訓講師</w:t>
      </w:r>
    </w:p>
    <w:p w:rsidR="00DD0EE8" w:rsidRPr="009A3D6B" w:rsidRDefault="009A3D6B" w:rsidP="009A3D6B">
      <w:pPr>
        <w:spacing w:afterLines="50" w:after="1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　　</w:t>
      </w:r>
      <w:r w:rsidR="000D6AE8" w:rsidRPr="000D6AE8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中央大學 </w:t>
      </w:r>
      <w:r w:rsidR="000D6AE8" w:rsidRPr="000D6AE8">
        <w:rPr>
          <w:rFonts w:ascii="標楷體" w:eastAsia="標楷體" w:hAnsi="標楷體" w:cs="Arial" w:hint="eastAsia"/>
          <w:b/>
          <w:color w:val="222222"/>
          <w:kern w:val="0"/>
          <w:szCs w:val="24"/>
        </w:rPr>
        <w:t>單維彰教授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：</w:t>
      </w:r>
      <w:r w:rsidR="000D6AE8" w:rsidRPr="000D6AE8">
        <w:rPr>
          <w:rFonts w:ascii="標楷體" w:eastAsia="標楷體" w:hAnsi="標楷體" w:cs="Arial" w:hint="eastAsia"/>
          <w:color w:val="222222"/>
          <w:kern w:val="0"/>
          <w:szCs w:val="24"/>
        </w:rPr>
        <w:t>全國微積分題庫平台計畫召集人，致力於微積分教學，首先將</w:t>
      </w:r>
      <w:r w:rsidR="000D6AE8">
        <w:rPr>
          <w:rFonts w:ascii="標楷體" w:eastAsia="標楷體" w:hAnsi="標楷體" w:cs="Arial" w:hint="eastAsia"/>
          <w:color w:val="222222"/>
          <w:kern w:val="0"/>
          <w:szCs w:val="24"/>
        </w:rPr>
        <w:t>該</w:t>
      </w:r>
      <w:r w:rsidR="000D6AE8" w:rsidRPr="000D6AE8">
        <w:rPr>
          <w:rFonts w:ascii="標楷體" w:eastAsia="標楷體" w:hAnsi="標楷體" w:cs="Arial" w:hint="eastAsia"/>
          <w:color w:val="222222"/>
          <w:kern w:val="0"/>
          <w:szCs w:val="24"/>
        </w:rPr>
        <w:t>平台應用於</w:t>
      </w:r>
      <w:r w:rsidR="000D6AE8" w:rsidRPr="009A3D6B">
        <w:rPr>
          <w:rFonts w:ascii="標楷體" w:eastAsia="標楷體" w:hAnsi="標楷體" w:cs="Arial" w:hint="eastAsia"/>
          <w:b/>
          <w:color w:val="222222"/>
          <w:kern w:val="0"/>
          <w:szCs w:val="24"/>
        </w:rPr>
        <w:t>大學先修課程</w:t>
      </w:r>
      <w:r w:rsidR="000D6AE8" w:rsidRPr="000D6AE8">
        <w:rPr>
          <w:rFonts w:ascii="標楷體" w:eastAsia="標楷體" w:hAnsi="標楷體" w:cs="Arial" w:hint="eastAsia"/>
          <w:color w:val="222222"/>
          <w:kern w:val="0"/>
          <w:szCs w:val="24"/>
        </w:rPr>
        <w:t>和</w:t>
      </w:r>
      <w:r w:rsidR="000D6AE8" w:rsidRPr="009A3D6B">
        <w:rPr>
          <w:rFonts w:ascii="標楷體" w:eastAsia="標楷體" w:hAnsi="標楷體" w:cs="Arial" w:hint="eastAsia"/>
          <w:b/>
          <w:color w:val="222222"/>
          <w:kern w:val="0"/>
          <w:szCs w:val="24"/>
        </w:rPr>
        <w:t>微積分聯合教學課程</w:t>
      </w:r>
      <w:r w:rsidR="000D6AE8">
        <w:rPr>
          <w:rFonts w:ascii="標楷體" w:eastAsia="標楷體" w:hAnsi="標楷體" w:cs="Arial" w:hint="eastAsia"/>
          <w:color w:val="222222"/>
          <w:kern w:val="0"/>
          <w:szCs w:val="24"/>
        </w:rPr>
        <w:t>當中</w:t>
      </w:r>
      <w:r w:rsidR="000D6AE8">
        <w:rPr>
          <w:rFonts w:ascii="新細明體" w:eastAsia="新細明體" w:hAnsi="新細明體" w:cs="Arial" w:hint="eastAsia"/>
          <w:color w:val="222222"/>
          <w:kern w:val="0"/>
          <w:szCs w:val="24"/>
        </w:rPr>
        <w:t>，</w:t>
      </w:r>
      <w:r w:rsidR="000D6AE8">
        <w:rPr>
          <w:rFonts w:ascii="標楷體" w:eastAsia="標楷體" w:hAnsi="標楷體" w:cs="Arial" w:hint="eastAsia"/>
          <w:color w:val="222222"/>
          <w:kern w:val="0"/>
          <w:szCs w:val="24"/>
        </w:rPr>
        <w:t>具有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對題庫的</w:t>
      </w:r>
      <w:r w:rsidR="000D6AE8">
        <w:rPr>
          <w:rFonts w:ascii="標楷體" w:eastAsia="標楷體" w:hAnsi="標楷體" w:cs="Arial" w:hint="eastAsia"/>
          <w:color w:val="222222"/>
          <w:kern w:val="0"/>
          <w:szCs w:val="24"/>
        </w:rPr>
        <w:t>豐富應用經驗和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題庫操作的技巧與大家分享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。</w:t>
      </w:r>
    </w:p>
    <w:p w:rsidR="00570D8E" w:rsidRPr="00DD0EE8" w:rsidRDefault="00BF7DEE">
      <w:pPr>
        <w:rPr>
          <w:rFonts w:ascii="標楷體" w:eastAsia="標楷體" w:hAnsi="標楷體"/>
          <w:szCs w:val="24"/>
          <w:shd w:val="pct15" w:color="auto" w:fill="FFFFFF"/>
        </w:rPr>
      </w:pPr>
      <w:r w:rsidRPr="00EE4208">
        <w:rPr>
          <w:rFonts w:ascii="標楷體" w:eastAsia="標楷體" w:hAnsi="標楷體" w:hint="eastAsia"/>
          <w:szCs w:val="24"/>
          <w:shd w:val="pct15" w:color="auto" w:fill="FFFFFF"/>
        </w:rPr>
        <w:t>培訓內容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4182"/>
      </w:tblGrid>
      <w:tr w:rsidR="005F1F01" w:rsidRPr="00EE4208" w:rsidTr="0011749B">
        <w:tc>
          <w:tcPr>
            <w:tcW w:w="2090" w:type="dxa"/>
            <w:vAlign w:val="center"/>
          </w:tcPr>
          <w:p w:rsidR="005F1F01" w:rsidRPr="00EE4208" w:rsidRDefault="0011749B" w:rsidP="001174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9:00-9:40</w:t>
            </w:r>
          </w:p>
        </w:tc>
        <w:tc>
          <w:tcPr>
            <w:tcW w:w="2090" w:type="dxa"/>
            <w:vAlign w:val="center"/>
          </w:tcPr>
          <w:p w:rsidR="005F1F01" w:rsidRPr="00EE4208" w:rsidRDefault="00096650" w:rsidP="001174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上課40分鐘</w:t>
            </w:r>
          </w:p>
        </w:tc>
        <w:tc>
          <w:tcPr>
            <w:tcW w:w="4182" w:type="dxa"/>
            <w:vAlign w:val="center"/>
          </w:tcPr>
          <w:p w:rsidR="005F1F01" w:rsidRPr="00EE4208" w:rsidRDefault="00096650" w:rsidP="001174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認識題庫</w:t>
            </w:r>
            <w:r w:rsidR="005F1F01" w:rsidRPr="00EE4208">
              <w:rPr>
                <w:rFonts w:ascii="標楷體" w:eastAsia="標楷體" w:hAnsi="標楷體" w:hint="eastAsia"/>
                <w:szCs w:val="24"/>
              </w:rPr>
              <w:t xml:space="preserve"> / </w:t>
            </w:r>
            <w:r w:rsidR="0011749B" w:rsidRPr="00EE4208">
              <w:rPr>
                <w:rFonts w:ascii="標楷體" w:eastAsia="標楷體" w:hAnsi="標楷體" w:hint="eastAsia"/>
                <w:szCs w:val="24"/>
              </w:rPr>
              <w:t>認識平台</w:t>
            </w:r>
          </w:p>
          <w:p w:rsidR="005F1F01" w:rsidRPr="00EE4208" w:rsidRDefault="005F1F01" w:rsidP="0011749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(學員使用預設帳號、</w:t>
            </w:r>
            <w:r w:rsidR="00CC103A" w:rsidRPr="00EE4208">
              <w:rPr>
                <w:rFonts w:ascii="標楷體" w:eastAsia="標楷體" w:hAnsi="標楷體" w:hint="eastAsia"/>
                <w:szCs w:val="24"/>
              </w:rPr>
              <w:t>開始</w:t>
            </w:r>
            <w:r w:rsidRPr="00EE4208">
              <w:rPr>
                <w:rFonts w:ascii="標楷體" w:eastAsia="標楷體" w:hAnsi="標楷體" w:hint="eastAsia"/>
                <w:szCs w:val="24"/>
              </w:rPr>
              <w:t>上機)</w:t>
            </w:r>
          </w:p>
        </w:tc>
      </w:tr>
      <w:tr w:rsidR="0011749B" w:rsidRPr="00EE4208" w:rsidTr="0011749B">
        <w:tc>
          <w:tcPr>
            <w:tcW w:w="2090" w:type="dxa"/>
            <w:vAlign w:val="center"/>
          </w:tcPr>
          <w:p w:rsidR="0011749B" w:rsidRPr="00EE4208" w:rsidRDefault="0011749B" w:rsidP="001174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9:40-9:50</w:t>
            </w:r>
          </w:p>
        </w:tc>
        <w:tc>
          <w:tcPr>
            <w:tcW w:w="6272" w:type="dxa"/>
            <w:gridSpan w:val="2"/>
          </w:tcPr>
          <w:p w:rsidR="0011749B" w:rsidRPr="00EE4208" w:rsidRDefault="0011749B">
            <w:pPr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休息10分鐘</w:t>
            </w:r>
          </w:p>
        </w:tc>
      </w:tr>
      <w:tr w:rsidR="00096650" w:rsidRPr="00EE4208" w:rsidTr="0011749B">
        <w:tc>
          <w:tcPr>
            <w:tcW w:w="2090" w:type="dxa"/>
            <w:vAlign w:val="center"/>
          </w:tcPr>
          <w:p w:rsidR="00096650" w:rsidRPr="00EE4208" w:rsidRDefault="0011749B" w:rsidP="001174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9:50-10:40</w:t>
            </w:r>
          </w:p>
        </w:tc>
        <w:tc>
          <w:tcPr>
            <w:tcW w:w="2090" w:type="dxa"/>
          </w:tcPr>
          <w:p w:rsidR="00096650" w:rsidRPr="00EE4208" w:rsidRDefault="00096650">
            <w:pPr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上課50分鐘</w:t>
            </w:r>
          </w:p>
        </w:tc>
        <w:tc>
          <w:tcPr>
            <w:tcW w:w="4182" w:type="dxa"/>
          </w:tcPr>
          <w:p w:rsidR="00096650" w:rsidRPr="00EE4208" w:rsidRDefault="0011749B">
            <w:pPr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 xml:space="preserve">題庫管理 / </w:t>
            </w:r>
            <w:r w:rsidR="00CC103A" w:rsidRPr="00EE4208">
              <w:rPr>
                <w:rFonts w:ascii="標楷體" w:eastAsia="標楷體" w:hAnsi="標楷體" w:hint="eastAsia"/>
                <w:szCs w:val="24"/>
              </w:rPr>
              <w:t>製卷和測驗維護</w:t>
            </w:r>
          </w:p>
        </w:tc>
      </w:tr>
      <w:tr w:rsidR="0011749B" w:rsidRPr="00EE4208" w:rsidTr="0011749B">
        <w:tc>
          <w:tcPr>
            <w:tcW w:w="2090" w:type="dxa"/>
            <w:vAlign w:val="center"/>
          </w:tcPr>
          <w:p w:rsidR="0011749B" w:rsidRPr="00EE4208" w:rsidRDefault="0011749B" w:rsidP="001174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10:40-10:50</w:t>
            </w:r>
          </w:p>
        </w:tc>
        <w:tc>
          <w:tcPr>
            <w:tcW w:w="6272" w:type="dxa"/>
            <w:gridSpan w:val="2"/>
          </w:tcPr>
          <w:p w:rsidR="0011749B" w:rsidRPr="00EE4208" w:rsidRDefault="0011749B">
            <w:pPr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休息</w:t>
            </w:r>
            <w:r w:rsidR="00A41643" w:rsidRPr="00EE4208">
              <w:rPr>
                <w:rFonts w:ascii="標楷體" w:eastAsia="標楷體" w:hAnsi="標楷體" w:hint="eastAsia"/>
                <w:szCs w:val="24"/>
              </w:rPr>
              <w:t>20</w:t>
            </w:r>
            <w:r w:rsidRPr="00EE4208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11749B" w:rsidRPr="00EE4208" w:rsidTr="0011749B">
        <w:tc>
          <w:tcPr>
            <w:tcW w:w="2090" w:type="dxa"/>
            <w:vAlign w:val="center"/>
          </w:tcPr>
          <w:p w:rsidR="0011749B" w:rsidRPr="00EE4208" w:rsidRDefault="0011749B" w:rsidP="001174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10:50-11:40</w:t>
            </w:r>
          </w:p>
        </w:tc>
        <w:tc>
          <w:tcPr>
            <w:tcW w:w="2090" w:type="dxa"/>
          </w:tcPr>
          <w:p w:rsidR="0011749B" w:rsidRPr="00EE4208" w:rsidRDefault="0011749B">
            <w:pPr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上課</w:t>
            </w:r>
            <w:r w:rsidR="00A41643" w:rsidRPr="00EE4208">
              <w:rPr>
                <w:rFonts w:ascii="標楷體" w:eastAsia="標楷體" w:hAnsi="標楷體" w:hint="eastAsia"/>
                <w:szCs w:val="24"/>
              </w:rPr>
              <w:t>40</w:t>
            </w:r>
            <w:r w:rsidRPr="00EE4208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4182" w:type="dxa"/>
          </w:tcPr>
          <w:p w:rsidR="0011749B" w:rsidRPr="00EE4208" w:rsidRDefault="0011749B">
            <w:pPr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成績簿管理 / 平台應用案例</w:t>
            </w:r>
          </w:p>
        </w:tc>
      </w:tr>
      <w:tr w:rsidR="0011749B" w:rsidRPr="00EE4208" w:rsidTr="0011749B">
        <w:tc>
          <w:tcPr>
            <w:tcW w:w="2090" w:type="dxa"/>
            <w:vAlign w:val="center"/>
          </w:tcPr>
          <w:p w:rsidR="0011749B" w:rsidRPr="00EE4208" w:rsidRDefault="0011749B" w:rsidP="001174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11:40-12:00</w:t>
            </w:r>
          </w:p>
        </w:tc>
        <w:tc>
          <w:tcPr>
            <w:tcW w:w="2090" w:type="dxa"/>
          </w:tcPr>
          <w:p w:rsidR="0011749B" w:rsidRPr="00EE4208" w:rsidRDefault="0011749B">
            <w:pPr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說明20分鐘</w:t>
            </w:r>
          </w:p>
        </w:tc>
        <w:tc>
          <w:tcPr>
            <w:tcW w:w="4182" w:type="dxa"/>
          </w:tcPr>
          <w:p w:rsidR="0011749B" w:rsidRPr="00EE4208" w:rsidRDefault="0011749B">
            <w:pPr>
              <w:rPr>
                <w:rFonts w:ascii="標楷體" w:eastAsia="標楷體" w:hAnsi="標楷體"/>
                <w:szCs w:val="24"/>
              </w:rPr>
            </w:pPr>
            <w:r w:rsidRPr="00EE4208">
              <w:rPr>
                <w:rFonts w:ascii="標楷體" w:eastAsia="標楷體" w:hAnsi="標楷體" w:hint="eastAsia"/>
                <w:szCs w:val="24"/>
              </w:rPr>
              <w:t>計畫補助說明和綜合問答</w:t>
            </w:r>
          </w:p>
        </w:tc>
      </w:tr>
    </w:tbl>
    <w:p w:rsidR="000D6AE8" w:rsidRPr="00EE4208" w:rsidRDefault="000D6AE8" w:rsidP="000D6AE8">
      <w:pPr>
        <w:spacing w:line="400" w:lineRule="exact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r w:rsidRPr="00EE4208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lastRenderedPageBreak/>
        <w:t>105全國微積分題庫平台種子教師助教培訓工作坊</w:t>
      </w:r>
    </w:p>
    <w:p w:rsidR="00517AFF" w:rsidRDefault="000D6AE8" w:rsidP="003C3D49">
      <w:pPr>
        <w:spacing w:line="400" w:lineRule="exact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活動地點時間</w:t>
      </w:r>
      <w:r w:rsidRPr="00EE4208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資訊</w:t>
      </w:r>
    </w:p>
    <w:p w:rsidR="003C3D49" w:rsidRPr="003C3D49" w:rsidRDefault="003C3D49" w:rsidP="003C3D49">
      <w:pPr>
        <w:spacing w:line="400" w:lineRule="exact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</w:p>
    <w:p w:rsidR="003C3D49" w:rsidRPr="003C3D49" w:rsidRDefault="003C3D49" w:rsidP="003C3D49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·  【第一場】桃竹苗區</w:t>
      </w:r>
    </w:p>
    <w:p w:rsidR="003C3D49" w:rsidRPr="003C3D49" w:rsidRDefault="003C3D49" w:rsidP="003C3D49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時間：105年08月16日(二) 09:00 ~ 12:00</w:t>
      </w:r>
    </w:p>
    <w:p w:rsidR="003C3D49" w:rsidRPr="003C3D49" w:rsidRDefault="003C3D49" w:rsidP="003C3D49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地點：中央大學</w:t>
      </w:r>
      <w:r w:rsidR="00B83D5F">
        <w:rPr>
          <w:rFonts w:ascii="標楷體" w:eastAsia="標楷體" w:hAnsi="標楷體" w:hint="eastAsia"/>
          <w:szCs w:val="24"/>
        </w:rPr>
        <w:t xml:space="preserve"> </w:t>
      </w:r>
      <w:r w:rsidRPr="003C3D49">
        <w:rPr>
          <w:rFonts w:ascii="標楷體" w:eastAsia="標楷體" w:hAnsi="標楷體" w:hint="eastAsia"/>
          <w:szCs w:val="24"/>
        </w:rPr>
        <w:t>數學系</w:t>
      </w:r>
      <w:r w:rsidR="00B83D5F" w:rsidRPr="003C3D49">
        <w:rPr>
          <w:rFonts w:ascii="標楷體" w:eastAsia="標楷體" w:hAnsi="標楷體" w:hint="eastAsia"/>
          <w:szCs w:val="24"/>
        </w:rPr>
        <w:t>鴻經館</w:t>
      </w:r>
      <w:r w:rsidRPr="003C3D49">
        <w:rPr>
          <w:rFonts w:ascii="標楷體" w:eastAsia="標楷體" w:hAnsi="標楷體" w:hint="eastAsia"/>
          <w:szCs w:val="24"/>
        </w:rPr>
        <w:t>2F電腦教室</w:t>
      </w:r>
    </w:p>
    <w:p w:rsidR="003C3D49" w:rsidRDefault="003C3D49" w:rsidP="00517AFF">
      <w:pPr>
        <w:rPr>
          <w:rFonts w:ascii="標楷體" w:eastAsia="標楷體" w:hAnsi="標楷體"/>
          <w:szCs w:val="24"/>
        </w:rPr>
      </w:pP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·  【第</w:t>
      </w:r>
      <w:r>
        <w:rPr>
          <w:rFonts w:ascii="標楷體" w:eastAsia="標楷體" w:hAnsi="標楷體" w:hint="eastAsia"/>
          <w:szCs w:val="24"/>
        </w:rPr>
        <w:t>二</w:t>
      </w:r>
      <w:r w:rsidRPr="003C3D49">
        <w:rPr>
          <w:rFonts w:ascii="標楷體" w:eastAsia="標楷體" w:hAnsi="標楷體" w:hint="eastAsia"/>
          <w:szCs w:val="24"/>
        </w:rPr>
        <w:t>場】</w:t>
      </w:r>
      <w:r>
        <w:rPr>
          <w:rFonts w:ascii="標楷體" w:eastAsia="標楷體" w:hAnsi="標楷體" w:hint="eastAsia"/>
          <w:szCs w:val="24"/>
        </w:rPr>
        <w:t>中</w:t>
      </w:r>
      <w:r w:rsidRPr="003C3D49">
        <w:rPr>
          <w:rFonts w:ascii="標楷體" w:eastAsia="標楷體" w:hAnsi="標楷體" w:hint="eastAsia"/>
          <w:szCs w:val="24"/>
        </w:rPr>
        <w:t>區</w:t>
      </w: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時間：105年08月1</w:t>
      </w:r>
      <w:r>
        <w:rPr>
          <w:rFonts w:ascii="標楷體" w:eastAsia="標楷體" w:hAnsi="標楷體" w:hint="eastAsia"/>
          <w:szCs w:val="24"/>
        </w:rPr>
        <w:t>7</w:t>
      </w:r>
      <w:r w:rsidRPr="003C3D49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三</w:t>
      </w:r>
      <w:r w:rsidRPr="003C3D49">
        <w:rPr>
          <w:rFonts w:ascii="標楷體" w:eastAsia="標楷體" w:hAnsi="標楷體" w:hint="eastAsia"/>
          <w:szCs w:val="24"/>
        </w:rPr>
        <w:t>) 09:00 ~ 12:00</w:t>
      </w: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地點：東海大學</w:t>
      </w:r>
      <w:r>
        <w:rPr>
          <w:rFonts w:ascii="標楷體" w:eastAsia="標楷體" w:hAnsi="標楷體" w:hint="eastAsia"/>
          <w:szCs w:val="24"/>
        </w:rPr>
        <w:t xml:space="preserve"> </w:t>
      </w:r>
      <w:r w:rsidRPr="00B83D5F">
        <w:rPr>
          <w:rFonts w:ascii="標楷體" w:eastAsia="標楷體" w:hAnsi="標楷體" w:hint="eastAsia"/>
          <w:szCs w:val="24"/>
        </w:rPr>
        <w:t>應數系大智慧科技大樓ST523教室</w:t>
      </w:r>
    </w:p>
    <w:p w:rsidR="00B83D5F" w:rsidRPr="00B83D5F" w:rsidRDefault="00B83D5F" w:rsidP="00517AFF">
      <w:pPr>
        <w:rPr>
          <w:rFonts w:ascii="標楷體" w:eastAsia="標楷體" w:hAnsi="標楷體"/>
          <w:szCs w:val="24"/>
        </w:rPr>
      </w:pP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·  【第</w:t>
      </w:r>
      <w:r>
        <w:rPr>
          <w:rFonts w:ascii="標楷體" w:eastAsia="標楷體" w:hAnsi="標楷體" w:hint="eastAsia"/>
          <w:szCs w:val="24"/>
        </w:rPr>
        <w:t>三</w:t>
      </w:r>
      <w:r w:rsidRPr="003C3D49">
        <w:rPr>
          <w:rFonts w:ascii="標楷體" w:eastAsia="標楷體" w:hAnsi="標楷體" w:hint="eastAsia"/>
          <w:szCs w:val="24"/>
        </w:rPr>
        <w:t>場】高東屏區</w:t>
      </w: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時間：105年08月</w:t>
      </w:r>
      <w:r>
        <w:rPr>
          <w:rFonts w:ascii="標楷體" w:eastAsia="標楷體" w:hAnsi="標楷體" w:hint="eastAsia"/>
          <w:szCs w:val="24"/>
        </w:rPr>
        <w:t>18</w:t>
      </w:r>
      <w:r w:rsidRPr="003C3D49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四</w:t>
      </w:r>
      <w:r w:rsidRPr="003C3D49">
        <w:rPr>
          <w:rFonts w:ascii="標楷體" w:eastAsia="標楷體" w:hAnsi="標楷體" w:hint="eastAsia"/>
          <w:szCs w:val="24"/>
        </w:rPr>
        <w:t>) 09:</w:t>
      </w:r>
      <w:r>
        <w:rPr>
          <w:rFonts w:ascii="標楷體" w:eastAsia="標楷體" w:hAnsi="標楷體" w:hint="eastAsia"/>
          <w:szCs w:val="24"/>
        </w:rPr>
        <w:t>00</w:t>
      </w:r>
      <w:r w:rsidRPr="003C3D49">
        <w:rPr>
          <w:rFonts w:ascii="標楷體" w:eastAsia="標楷體" w:hAnsi="標楷體" w:hint="eastAsia"/>
          <w:szCs w:val="24"/>
        </w:rPr>
        <w:t xml:space="preserve"> ~ 12:</w:t>
      </w:r>
      <w:r>
        <w:rPr>
          <w:rFonts w:ascii="標楷體" w:eastAsia="標楷體" w:hAnsi="標楷體" w:hint="eastAsia"/>
          <w:szCs w:val="24"/>
        </w:rPr>
        <w:t>00</w:t>
      </w: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地點：</w:t>
      </w:r>
      <w:r>
        <w:rPr>
          <w:rFonts w:ascii="標楷體" w:eastAsia="標楷體" w:hAnsi="標楷體" w:hint="eastAsia"/>
          <w:szCs w:val="24"/>
        </w:rPr>
        <w:t>中山</w:t>
      </w:r>
      <w:r w:rsidRPr="003C3D49">
        <w:rPr>
          <w:rFonts w:ascii="標楷體" w:eastAsia="標楷體" w:hAnsi="標楷體" w:hint="eastAsia"/>
          <w:szCs w:val="24"/>
        </w:rPr>
        <w:t>大學</w:t>
      </w:r>
      <w:r>
        <w:rPr>
          <w:rFonts w:ascii="標楷體" w:eastAsia="標楷體" w:hAnsi="標楷體" w:hint="eastAsia"/>
          <w:szCs w:val="24"/>
        </w:rPr>
        <w:t xml:space="preserve"> </w:t>
      </w:r>
      <w:r w:rsidRPr="00B83D5F">
        <w:rPr>
          <w:rFonts w:ascii="標楷體" w:eastAsia="標楷體" w:hAnsi="標楷體" w:hint="eastAsia"/>
          <w:szCs w:val="24"/>
        </w:rPr>
        <w:t>圖</w:t>
      </w:r>
      <w:r>
        <w:rPr>
          <w:rFonts w:ascii="標楷體" w:eastAsia="標楷體" w:hAnsi="標楷體" w:hint="eastAsia"/>
          <w:szCs w:val="24"/>
        </w:rPr>
        <w:t>書</w:t>
      </w:r>
      <w:r w:rsidRPr="00B83D5F">
        <w:rPr>
          <w:rFonts w:ascii="標楷體" w:eastAsia="標楷體" w:hAnsi="標楷體" w:hint="eastAsia"/>
          <w:szCs w:val="24"/>
        </w:rPr>
        <w:t>資</w:t>
      </w:r>
      <w:r>
        <w:rPr>
          <w:rFonts w:ascii="標楷體" w:eastAsia="標楷體" w:hAnsi="標楷體" w:hint="eastAsia"/>
          <w:szCs w:val="24"/>
        </w:rPr>
        <w:t>訊</w:t>
      </w:r>
      <w:r w:rsidRPr="00B83D5F">
        <w:rPr>
          <w:rFonts w:ascii="標楷體" w:eastAsia="標楷體" w:hAnsi="標楷體" w:hint="eastAsia"/>
          <w:szCs w:val="24"/>
        </w:rPr>
        <w:t>處B1電腦教室</w:t>
      </w:r>
    </w:p>
    <w:p w:rsidR="00B83D5F" w:rsidRPr="00B83D5F" w:rsidRDefault="00B83D5F" w:rsidP="00517AFF">
      <w:pPr>
        <w:rPr>
          <w:rFonts w:ascii="標楷體" w:eastAsia="標楷體" w:hAnsi="標楷體"/>
          <w:szCs w:val="24"/>
        </w:rPr>
      </w:pP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·  【第</w:t>
      </w:r>
      <w:r>
        <w:rPr>
          <w:rFonts w:ascii="標楷體" w:eastAsia="標楷體" w:hAnsi="標楷體" w:hint="eastAsia"/>
          <w:szCs w:val="24"/>
        </w:rPr>
        <w:t>四</w:t>
      </w:r>
      <w:r w:rsidRPr="003C3D49">
        <w:rPr>
          <w:rFonts w:ascii="標楷體" w:eastAsia="標楷體" w:hAnsi="標楷體" w:hint="eastAsia"/>
          <w:szCs w:val="24"/>
        </w:rPr>
        <w:t>場】北二區</w:t>
      </w: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時間：105年08月</w:t>
      </w:r>
      <w:r>
        <w:rPr>
          <w:rFonts w:ascii="標楷體" w:eastAsia="標楷體" w:hAnsi="標楷體" w:hint="eastAsia"/>
          <w:szCs w:val="24"/>
        </w:rPr>
        <w:t>25</w:t>
      </w:r>
      <w:r w:rsidRPr="003C3D49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四</w:t>
      </w:r>
      <w:r w:rsidRPr="003C3D49">
        <w:rPr>
          <w:rFonts w:ascii="標楷體" w:eastAsia="標楷體" w:hAnsi="標楷體" w:hint="eastAsia"/>
          <w:szCs w:val="24"/>
        </w:rPr>
        <w:t xml:space="preserve">) </w:t>
      </w:r>
      <w:r w:rsidRPr="00B83D5F">
        <w:rPr>
          <w:rFonts w:ascii="標楷體" w:eastAsia="標楷體" w:hAnsi="標楷體" w:hint="eastAsia"/>
          <w:szCs w:val="24"/>
          <w:shd w:val="pct15" w:color="auto" w:fill="FFFFFF"/>
        </w:rPr>
        <w:t>09:30 ~ 12:30</w:t>
      </w: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地點：</w:t>
      </w:r>
      <w:r>
        <w:rPr>
          <w:rFonts w:ascii="標楷體" w:eastAsia="標楷體" w:hAnsi="標楷體" w:hint="eastAsia"/>
          <w:szCs w:val="24"/>
        </w:rPr>
        <w:t>東華</w:t>
      </w:r>
      <w:r w:rsidRPr="003C3D49">
        <w:rPr>
          <w:rFonts w:ascii="標楷體" w:eastAsia="標楷體" w:hAnsi="標楷體" w:hint="eastAsia"/>
          <w:szCs w:val="24"/>
        </w:rPr>
        <w:t>大學</w:t>
      </w:r>
      <w:r>
        <w:rPr>
          <w:rFonts w:ascii="標楷體" w:eastAsia="標楷體" w:hAnsi="標楷體" w:hint="eastAsia"/>
          <w:szCs w:val="24"/>
        </w:rPr>
        <w:t xml:space="preserve"> </w:t>
      </w:r>
      <w:r w:rsidRPr="00B83D5F">
        <w:rPr>
          <w:rFonts w:ascii="標楷體" w:eastAsia="標楷體" w:hAnsi="標楷體" w:hint="eastAsia"/>
          <w:szCs w:val="24"/>
        </w:rPr>
        <w:t>花師教育學院 PC2 (B220)</w:t>
      </w:r>
    </w:p>
    <w:p w:rsidR="00B83D5F" w:rsidRPr="00B83D5F" w:rsidRDefault="00B83D5F" w:rsidP="00517AFF">
      <w:pPr>
        <w:rPr>
          <w:rFonts w:ascii="標楷體" w:eastAsia="標楷體" w:hAnsi="標楷體"/>
          <w:szCs w:val="24"/>
        </w:rPr>
      </w:pPr>
    </w:p>
    <w:p w:rsidR="00B83D5F" w:rsidRDefault="00517AFF" w:rsidP="00517AF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 xml:space="preserve">·  </w:t>
      </w:r>
      <w:r w:rsidR="00A41643" w:rsidRPr="003C3D49">
        <w:rPr>
          <w:rFonts w:ascii="標楷體" w:eastAsia="標楷體" w:hAnsi="標楷體" w:hint="eastAsia"/>
          <w:szCs w:val="24"/>
        </w:rPr>
        <w:t>【</w:t>
      </w:r>
      <w:r w:rsidR="00B83D5F">
        <w:rPr>
          <w:rFonts w:ascii="標楷體" w:eastAsia="標楷體" w:hAnsi="標楷體" w:hint="eastAsia"/>
          <w:szCs w:val="24"/>
        </w:rPr>
        <w:t>第五場</w:t>
      </w:r>
      <w:r w:rsidR="00A41643" w:rsidRPr="003C3D49">
        <w:rPr>
          <w:rFonts w:ascii="標楷體" w:eastAsia="標楷體" w:hAnsi="標楷體" w:hint="eastAsia"/>
          <w:szCs w:val="24"/>
        </w:rPr>
        <w:t>】</w:t>
      </w:r>
      <w:r w:rsidR="00B83D5F" w:rsidRPr="003C3D49">
        <w:rPr>
          <w:rFonts w:ascii="標楷體" w:eastAsia="標楷體" w:hAnsi="標楷體" w:hint="eastAsia"/>
          <w:szCs w:val="24"/>
        </w:rPr>
        <w:t>高東屏區</w:t>
      </w:r>
    </w:p>
    <w:p w:rsidR="00B83D5F" w:rsidRPr="003C3D49" w:rsidRDefault="00B83D5F" w:rsidP="00B83D5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時間：105年08月</w:t>
      </w:r>
      <w:r>
        <w:rPr>
          <w:rFonts w:ascii="標楷體" w:eastAsia="標楷體" w:hAnsi="標楷體" w:hint="eastAsia"/>
          <w:szCs w:val="24"/>
        </w:rPr>
        <w:t>26</w:t>
      </w:r>
      <w:r w:rsidRPr="003C3D49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五</w:t>
      </w:r>
      <w:r w:rsidRPr="003C3D49">
        <w:rPr>
          <w:rFonts w:ascii="標楷體" w:eastAsia="標楷體" w:hAnsi="標楷體" w:hint="eastAsia"/>
          <w:szCs w:val="24"/>
        </w:rPr>
        <w:t>) 09:</w:t>
      </w:r>
      <w:r>
        <w:rPr>
          <w:rFonts w:ascii="標楷體" w:eastAsia="標楷體" w:hAnsi="標楷體" w:hint="eastAsia"/>
          <w:szCs w:val="24"/>
        </w:rPr>
        <w:t>00</w:t>
      </w:r>
      <w:r w:rsidRPr="003C3D49">
        <w:rPr>
          <w:rFonts w:ascii="標楷體" w:eastAsia="標楷體" w:hAnsi="標楷體" w:hint="eastAsia"/>
          <w:szCs w:val="24"/>
        </w:rPr>
        <w:t xml:space="preserve"> ~ 12:</w:t>
      </w:r>
      <w:r>
        <w:rPr>
          <w:rFonts w:ascii="標楷體" w:eastAsia="標楷體" w:hAnsi="標楷體" w:hint="eastAsia"/>
          <w:szCs w:val="24"/>
        </w:rPr>
        <w:t>00</w:t>
      </w:r>
    </w:p>
    <w:p w:rsidR="008E3E86" w:rsidRDefault="00B83D5F" w:rsidP="00517AFF">
      <w:pPr>
        <w:rPr>
          <w:rFonts w:ascii="標楷體" w:eastAsia="標楷體" w:hAnsi="標楷體"/>
          <w:szCs w:val="24"/>
        </w:rPr>
      </w:pPr>
      <w:r w:rsidRPr="003C3D49">
        <w:rPr>
          <w:rFonts w:ascii="標楷體" w:eastAsia="標楷體" w:hAnsi="標楷體" w:hint="eastAsia"/>
          <w:szCs w:val="24"/>
        </w:rPr>
        <w:t>地點：台東大學</w:t>
      </w:r>
      <w:r>
        <w:rPr>
          <w:rFonts w:ascii="標楷體" w:eastAsia="標楷體" w:hAnsi="標楷體" w:hint="eastAsia"/>
          <w:szCs w:val="24"/>
        </w:rPr>
        <w:t xml:space="preserve"> </w:t>
      </w:r>
      <w:r w:rsidRPr="00B83D5F">
        <w:rPr>
          <w:rFonts w:ascii="標楷體" w:eastAsia="標楷體" w:hAnsi="標楷體" w:hint="eastAsia"/>
          <w:szCs w:val="24"/>
        </w:rPr>
        <w:t>理工學院B棟SEV302電腦教室</w:t>
      </w:r>
    </w:p>
    <w:p w:rsidR="00B929DA" w:rsidRDefault="00B929DA" w:rsidP="00517AFF">
      <w:pPr>
        <w:rPr>
          <w:rFonts w:ascii="標楷體" w:eastAsia="標楷體" w:hAnsi="標楷體"/>
          <w:szCs w:val="24"/>
        </w:rPr>
      </w:pPr>
    </w:p>
    <w:p w:rsidR="00B929DA" w:rsidRPr="00B929DA" w:rsidRDefault="00B929DA" w:rsidP="00B929DA">
      <w:pPr>
        <w:rPr>
          <w:rFonts w:ascii="標楷體" w:eastAsia="標楷體" w:hAnsi="標楷體"/>
          <w:szCs w:val="24"/>
        </w:rPr>
      </w:pPr>
      <w:r w:rsidRPr="00B929DA">
        <w:rPr>
          <w:rFonts w:ascii="標楷體" w:eastAsia="標楷體" w:hAnsi="標楷體" w:hint="eastAsia"/>
          <w:szCs w:val="24"/>
        </w:rPr>
        <w:t>說明：</w:t>
      </w:r>
    </w:p>
    <w:p w:rsidR="00B929DA" w:rsidRPr="008F7775" w:rsidRDefault="00B929DA" w:rsidP="00B929DA">
      <w:pPr>
        <w:rPr>
          <w:rFonts w:ascii="標楷體" w:eastAsia="標楷體" w:hAnsi="標楷體"/>
          <w:szCs w:val="24"/>
        </w:rPr>
      </w:pPr>
      <w:r w:rsidRPr="008F7775">
        <w:rPr>
          <w:rFonts w:ascii="標楷體" w:eastAsia="標楷體" w:hAnsi="標楷體" w:hint="eastAsia"/>
          <w:szCs w:val="24"/>
        </w:rPr>
        <w:t>1. 活動敬備餐點，唯電腦教室場地內不得用餐，懇請見諒。</w:t>
      </w:r>
    </w:p>
    <w:p w:rsidR="008F7775" w:rsidRPr="008F7775" w:rsidRDefault="008F7775" w:rsidP="00B929DA">
      <w:pPr>
        <w:rPr>
          <w:rFonts w:ascii="標楷體" w:eastAsia="標楷體" w:hAnsi="標楷體"/>
          <w:szCs w:val="24"/>
        </w:rPr>
      </w:pPr>
      <w:r w:rsidRPr="008F7775">
        <w:rPr>
          <w:rFonts w:ascii="標楷體" w:eastAsia="標楷體" w:hAnsi="標楷體" w:hint="eastAsia"/>
          <w:szCs w:val="24"/>
        </w:rPr>
        <w:t>2. 活動開始前十五分鐘，開始報到入場。</w:t>
      </w:r>
    </w:p>
    <w:p w:rsidR="00B929DA" w:rsidRPr="008F7775" w:rsidRDefault="00B929DA" w:rsidP="00B929DA">
      <w:pPr>
        <w:rPr>
          <w:rFonts w:ascii="標楷體" w:eastAsia="標楷體" w:hAnsi="標楷體"/>
          <w:szCs w:val="24"/>
        </w:rPr>
      </w:pPr>
      <w:r w:rsidRPr="008F7775">
        <w:rPr>
          <w:rFonts w:ascii="標楷體" w:eastAsia="標楷體" w:hAnsi="標楷體" w:hint="eastAsia"/>
          <w:szCs w:val="24"/>
        </w:rPr>
        <w:t>2. 每場次舉辦日期前一天凌晨 00:00 即報名截止。例：桃竹苗區 8/15 00:00 報名截止。</w:t>
      </w:r>
    </w:p>
    <w:p w:rsidR="00B929DA" w:rsidRPr="008F7775" w:rsidRDefault="00B929DA" w:rsidP="00B929DA">
      <w:pPr>
        <w:rPr>
          <w:rFonts w:ascii="標楷體" w:eastAsia="標楷體" w:hAnsi="標楷體"/>
          <w:szCs w:val="24"/>
        </w:rPr>
      </w:pPr>
      <w:r w:rsidRPr="008F7775">
        <w:rPr>
          <w:rFonts w:ascii="標楷體" w:eastAsia="標楷體" w:hAnsi="標楷體" w:hint="eastAsia"/>
          <w:szCs w:val="24"/>
        </w:rPr>
        <w:t>3. 響應環保政策，敬請自備環保杯。</w:t>
      </w:r>
    </w:p>
    <w:p w:rsidR="00B929DA" w:rsidRPr="008F7775" w:rsidRDefault="00B929DA" w:rsidP="00B929DA">
      <w:pPr>
        <w:rPr>
          <w:rFonts w:ascii="標楷體" w:eastAsia="標楷體" w:hAnsi="標楷體"/>
          <w:szCs w:val="24"/>
        </w:rPr>
      </w:pPr>
      <w:r w:rsidRPr="008F7775">
        <w:rPr>
          <w:rFonts w:ascii="標楷體" w:eastAsia="標楷體" w:hAnsi="標楷體" w:hint="eastAsia"/>
          <w:szCs w:val="24"/>
        </w:rPr>
        <w:t>4. 相關事宜，請逕洽桃竹苗區域教學資源中心黃子寧專任助理，連絡電話03-4227151分機57193或E-mail：childofgod0518@gmail.com。</w:t>
      </w:r>
    </w:p>
    <w:sectPr w:rsidR="00B929DA" w:rsidRPr="008F777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DA" w:rsidRDefault="00DD79DA" w:rsidP="00700910">
      <w:r>
        <w:separator/>
      </w:r>
    </w:p>
  </w:endnote>
  <w:endnote w:type="continuationSeparator" w:id="0">
    <w:p w:rsidR="00DD79DA" w:rsidRDefault="00DD79DA" w:rsidP="0070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王漢宗特明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王漢宗粗鋼體一標準">
    <w:altName w:val="Arial Unicode MS"/>
    <w:charset w:val="88"/>
    <w:family w:val="roman"/>
    <w:pitch w:val="variable"/>
    <w:sig w:usb0="00000010" w:usb1="38CFFC78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400743"/>
      <w:docPartObj>
        <w:docPartGallery w:val="Page Numbers (Bottom of Page)"/>
        <w:docPartUnique/>
      </w:docPartObj>
    </w:sdtPr>
    <w:sdtEndPr/>
    <w:sdtContent>
      <w:p w:rsidR="003C3D49" w:rsidRDefault="003C3D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33A" w:rsidRPr="00C2733A">
          <w:rPr>
            <w:noProof/>
            <w:lang w:val="zh-TW"/>
          </w:rPr>
          <w:t>2</w:t>
        </w:r>
        <w:r>
          <w:fldChar w:fldCharType="end"/>
        </w:r>
      </w:p>
    </w:sdtContent>
  </w:sdt>
  <w:p w:rsidR="003C3D49" w:rsidRDefault="003C3D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DA" w:rsidRDefault="00DD79DA" w:rsidP="00700910">
      <w:r>
        <w:separator/>
      </w:r>
    </w:p>
  </w:footnote>
  <w:footnote w:type="continuationSeparator" w:id="0">
    <w:p w:rsidR="00DD79DA" w:rsidRDefault="00DD79DA" w:rsidP="0070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239"/>
      <w:gridCol w:w="3297"/>
    </w:tblGrid>
    <w:tr w:rsidR="00EE4208" w:rsidTr="006A79CC">
      <w:trPr>
        <w:trHeight w:val="288"/>
      </w:trPr>
      <w:tc>
        <w:tcPr>
          <w:tcW w:w="7061" w:type="dxa"/>
        </w:tcPr>
        <w:p w:rsidR="00EE4208" w:rsidRPr="00EE4208" w:rsidRDefault="00EE4208" w:rsidP="00EE4208">
          <w:pPr>
            <w:spacing w:afterLines="50" w:after="120"/>
            <w:rPr>
              <w:rFonts w:ascii="王漢宗特明體繁" w:eastAsia="王漢宗特明體繁" w:hAnsi="Chaparral Pro"/>
              <w:b/>
              <w:sz w:val="28"/>
              <w:szCs w:val="28"/>
            </w:rPr>
          </w:pPr>
          <w:r w:rsidRPr="00957EBF">
            <w:rPr>
              <w:rFonts w:ascii="王漢宗特明體繁" w:eastAsia="王漢宗特明體繁" w:hAnsi="Chaparral Pro" w:hint="eastAsia"/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15F374C8" wp14:editId="37D3E5B6">
                <wp:simplePos x="0" y="0"/>
                <wp:positionH relativeFrom="column">
                  <wp:posOffset>34506</wp:posOffset>
                </wp:positionH>
                <wp:positionV relativeFrom="paragraph">
                  <wp:posOffset>34997</wp:posOffset>
                </wp:positionV>
                <wp:extent cx="558165" cy="560705"/>
                <wp:effectExtent l="0" t="0" r="0" b="0"/>
                <wp:wrapThrough wrapText="bothSides">
                  <wp:wrapPolygon edited="0">
                    <wp:start x="0" y="0"/>
                    <wp:lineTo x="0" y="20548"/>
                    <wp:lineTo x="20642" y="20548"/>
                    <wp:lineTo x="20642" y="0"/>
                    <wp:lineTo x="0" y="0"/>
                  </wp:wrapPolygon>
                </wp:wrapThrough>
                <wp:docPr id="11" name="圖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單色(2)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207"/>
                        <a:stretch/>
                      </pic:blipFill>
                      <pic:spPr bwMode="auto">
                        <a:xfrm>
                          <a:off x="0" y="0"/>
                          <a:ext cx="558165" cy="560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7EBF">
            <w:rPr>
              <w:rFonts w:ascii="王漢宗特明體繁" w:eastAsia="王漢宗特明體繁" w:hAnsi="Chaparral Pro" w:hint="eastAsia"/>
              <w:b/>
              <w:sz w:val="28"/>
              <w:szCs w:val="28"/>
            </w:rPr>
            <w:t>桃竹苗區域教學資源中心</w:t>
          </w:r>
          <w:r w:rsidRPr="0020046B">
            <w:rPr>
              <w:rFonts w:ascii="Chaparral Pro" w:eastAsia="王漢宗粗鋼體一標準" w:hAnsi="Chaparral Pro" w:hint="eastAsia"/>
              <w:b/>
            </w:rPr>
            <w:br/>
          </w:r>
          <w:r w:rsidRPr="0020046B">
            <w:rPr>
              <w:rFonts w:ascii="Chaparral Pro" w:eastAsia="王漢宗粗鋼體一標準" w:hAnsi="Chaparral Pro"/>
            </w:rPr>
            <w:t xml:space="preserve">Regional Education Resource Center at </w:t>
          </w:r>
          <w:r>
            <w:rPr>
              <w:rFonts w:ascii="Chaparral Pro" w:eastAsia="王漢宗粗鋼體一標準" w:hAnsi="Chaparral Pro" w:hint="eastAsia"/>
            </w:rPr>
            <w:br/>
          </w:r>
          <w:r w:rsidRPr="0020046B">
            <w:rPr>
              <w:rFonts w:ascii="Chaparral Pro" w:eastAsia="王漢宗粗鋼體一標準" w:hAnsi="Chaparral Pro"/>
            </w:rPr>
            <w:t>Taoyuan, Xinzhu, and Miaoli</w:t>
          </w:r>
        </w:p>
      </w:tc>
      <w:tc>
        <w:tcPr>
          <w:tcW w:w="3635" w:type="dxa"/>
        </w:tcPr>
        <w:p w:rsidR="00EE4208" w:rsidRPr="00F83685" w:rsidRDefault="00EE4208" w:rsidP="00EE4208">
          <w:pPr>
            <w:spacing w:line="240" w:lineRule="exact"/>
            <w:rPr>
              <w:rFonts w:ascii="Chaparral Pro" w:eastAsia="王漢宗粗鋼體一標準" w:hAnsi="Chaparral Pro"/>
              <w:sz w:val="18"/>
              <w:szCs w:val="18"/>
            </w:rPr>
          </w:pPr>
          <w:r w:rsidRPr="00F83685">
            <w:rPr>
              <w:rFonts w:ascii="Chaparral Pro" w:eastAsia="王漢宗粗鋼體一標準" w:hAnsi="Chaparral Pro"/>
              <w:b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72054C7" wp14:editId="0E613215">
                <wp:simplePos x="0" y="0"/>
                <wp:positionH relativeFrom="column">
                  <wp:posOffset>5710339</wp:posOffset>
                </wp:positionH>
                <wp:positionV relativeFrom="paragraph">
                  <wp:posOffset>180975</wp:posOffset>
                </wp:positionV>
                <wp:extent cx="695325" cy="698500"/>
                <wp:effectExtent l="0" t="0" r="9525" b="6350"/>
                <wp:wrapNone/>
                <wp:docPr id="12" name="圖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單色(2)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207"/>
                        <a:stretch/>
                      </pic:blipFill>
                      <pic:spPr bwMode="auto">
                        <a:xfrm>
                          <a:off x="0" y="0"/>
                          <a:ext cx="695325" cy="69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83685">
            <w:rPr>
              <w:rFonts w:ascii="Chaparral Pro" w:eastAsia="王漢宗粗鋼體一標準" w:hAnsi="Chaparral Pro" w:hint="eastAsia"/>
              <w:sz w:val="18"/>
              <w:szCs w:val="18"/>
            </w:rPr>
            <w:t xml:space="preserve">Tel:(03)422-7151#57189-57194 </w:t>
          </w:r>
          <w:r w:rsidRPr="00F83685">
            <w:rPr>
              <w:rFonts w:ascii="Chaparral Pro" w:eastAsia="王漢宗粗鋼體一標準" w:hAnsi="Chaparral Pro"/>
              <w:sz w:val="18"/>
              <w:szCs w:val="18"/>
            </w:rPr>
            <w:br/>
            <w:t>Fax:(03)426-3876</w:t>
          </w:r>
          <w:r w:rsidRPr="00F83685">
            <w:rPr>
              <w:rFonts w:ascii="Chaparral Pro" w:eastAsia="王漢宗粗鋼體一標準" w:hAnsi="Chaparral Pro"/>
              <w:sz w:val="18"/>
              <w:szCs w:val="18"/>
            </w:rPr>
            <w:br/>
          </w:r>
          <w:r w:rsidRPr="00F83685">
            <w:rPr>
              <w:rFonts w:ascii="Chaparral Pro" w:eastAsia="王漢宗粗鋼體一標準" w:hAnsi="Chaparral Pro" w:hint="eastAsia"/>
              <w:sz w:val="18"/>
              <w:szCs w:val="18"/>
            </w:rPr>
            <w:t>www.tzmarea.edu.tw</w:t>
          </w:r>
          <w:r w:rsidRPr="00F83685">
            <w:rPr>
              <w:rFonts w:ascii="Chaparral Pro" w:eastAsia="王漢宗粗鋼體一標準" w:hAnsi="Chaparral Pro"/>
              <w:sz w:val="18"/>
              <w:szCs w:val="18"/>
            </w:rPr>
            <w:t xml:space="preserve"> </w:t>
          </w:r>
          <w:r w:rsidRPr="00F83685">
            <w:rPr>
              <w:rFonts w:ascii="Chaparral Pro" w:eastAsia="王漢宗粗鋼體一標準" w:hAnsi="Chaparral Pro" w:hint="eastAsia"/>
              <w:sz w:val="18"/>
              <w:szCs w:val="18"/>
            </w:rPr>
            <w:t xml:space="preserve"> </w:t>
          </w:r>
        </w:p>
        <w:p w:rsidR="00EE4208" w:rsidRPr="00EE4208" w:rsidRDefault="00EE4208" w:rsidP="00EE4208">
          <w:pPr>
            <w:spacing w:line="240" w:lineRule="exact"/>
            <w:rPr>
              <w:rFonts w:ascii="Chaparral Pro" w:eastAsia="王漢宗粗鋼體一標準" w:hAnsi="Chaparral Pro"/>
              <w:sz w:val="18"/>
              <w:szCs w:val="18"/>
            </w:rPr>
          </w:pPr>
          <w:r w:rsidRPr="00F83685">
            <w:rPr>
              <w:rFonts w:ascii="Chaparral Pro" w:eastAsia="王漢宗粗鋼體一標準" w:hAnsi="Chaparral Pro"/>
              <w:sz w:val="18"/>
              <w:szCs w:val="18"/>
            </w:rPr>
            <w:t>320</w:t>
          </w:r>
          <w:r w:rsidRPr="00F83685">
            <w:rPr>
              <w:rFonts w:ascii="Chaparral Pro" w:eastAsia="王漢宗粗鋼體一標準" w:hAnsi="Chaparral Pro"/>
              <w:sz w:val="18"/>
              <w:szCs w:val="18"/>
            </w:rPr>
            <w:t>桃園</w:t>
          </w:r>
          <w:r>
            <w:rPr>
              <w:rFonts w:ascii="Chaparral Pro" w:eastAsia="王漢宗粗鋼體一標準" w:hAnsi="Chaparral Pro" w:hint="eastAsia"/>
              <w:sz w:val="18"/>
              <w:szCs w:val="18"/>
            </w:rPr>
            <w:t>市</w:t>
          </w:r>
          <w:r>
            <w:rPr>
              <w:rFonts w:ascii="Chaparral Pro" w:eastAsia="王漢宗粗鋼體一標準" w:hAnsi="Chaparral Pro"/>
              <w:sz w:val="18"/>
              <w:szCs w:val="18"/>
            </w:rPr>
            <w:t>中壢</w:t>
          </w:r>
          <w:r>
            <w:rPr>
              <w:rFonts w:ascii="Chaparral Pro" w:eastAsia="王漢宗粗鋼體一標準" w:hAnsi="Chaparral Pro" w:hint="eastAsia"/>
              <w:sz w:val="18"/>
              <w:szCs w:val="18"/>
            </w:rPr>
            <w:t>區</w:t>
          </w:r>
          <w:r w:rsidRPr="00F83685">
            <w:rPr>
              <w:rFonts w:ascii="Chaparral Pro" w:eastAsia="王漢宗粗鋼體一標準" w:hAnsi="Chaparral Pro"/>
              <w:sz w:val="18"/>
              <w:szCs w:val="18"/>
            </w:rPr>
            <w:t>中大路</w:t>
          </w:r>
          <w:r w:rsidRPr="00F83685">
            <w:rPr>
              <w:rFonts w:ascii="Chaparral Pro" w:eastAsia="王漢宗粗鋼體一標準" w:hAnsi="Chaparral Pro"/>
              <w:sz w:val="18"/>
              <w:szCs w:val="18"/>
            </w:rPr>
            <w:t>300</w:t>
          </w:r>
          <w:r w:rsidRPr="00F83685">
            <w:rPr>
              <w:rFonts w:ascii="Chaparral Pro" w:eastAsia="王漢宗粗鋼體一標準" w:hAnsi="Chaparral Pro"/>
              <w:sz w:val="18"/>
              <w:szCs w:val="18"/>
            </w:rPr>
            <w:t>號</w:t>
          </w:r>
        </w:p>
      </w:tc>
    </w:tr>
  </w:tbl>
  <w:p w:rsidR="00EE4208" w:rsidRPr="00EE4208" w:rsidRDefault="00EE4208" w:rsidP="00EE4208">
    <w:pPr>
      <w:pStyle w:val="a3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4E"/>
    <w:rsid w:val="0001595C"/>
    <w:rsid w:val="0005786A"/>
    <w:rsid w:val="00096650"/>
    <w:rsid w:val="000C504E"/>
    <w:rsid w:val="000D6AE8"/>
    <w:rsid w:val="00103EA1"/>
    <w:rsid w:val="0011749B"/>
    <w:rsid w:val="00145EBF"/>
    <w:rsid w:val="00206659"/>
    <w:rsid w:val="00354226"/>
    <w:rsid w:val="003C3D49"/>
    <w:rsid w:val="0045112C"/>
    <w:rsid w:val="00476E16"/>
    <w:rsid w:val="00517AFF"/>
    <w:rsid w:val="00570D8E"/>
    <w:rsid w:val="005F1F01"/>
    <w:rsid w:val="005F3D68"/>
    <w:rsid w:val="00656628"/>
    <w:rsid w:val="00680896"/>
    <w:rsid w:val="00700910"/>
    <w:rsid w:val="0077109F"/>
    <w:rsid w:val="0088471C"/>
    <w:rsid w:val="008E3E86"/>
    <w:rsid w:val="008F7775"/>
    <w:rsid w:val="00914DEF"/>
    <w:rsid w:val="009A3D6B"/>
    <w:rsid w:val="00A363BE"/>
    <w:rsid w:val="00A41643"/>
    <w:rsid w:val="00B83D5F"/>
    <w:rsid w:val="00B929DA"/>
    <w:rsid w:val="00BA2F37"/>
    <w:rsid w:val="00BB565A"/>
    <w:rsid w:val="00BF7DEE"/>
    <w:rsid w:val="00C2733A"/>
    <w:rsid w:val="00C86166"/>
    <w:rsid w:val="00C87376"/>
    <w:rsid w:val="00CC103A"/>
    <w:rsid w:val="00CE5788"/>
    <w:rsid w:val="00D52C34"/>
    <w:rsid w:val="00DD0EE8"/>
    <w:rsid w:val="00DD79DA"/>
    <w:rsid w:val="00E52435"/>
    <w:rsid w:val="00EE4208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09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0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0910"/>
    <w:rPr>
      <w:sz w:val="20"/>
      <w:szCs w:val="20"/>
    </w:rPr>
  </w:style>
  <w:style w:type="table" w:styleId="a7">
    <w:name w:val="Table Grid"/>
    <w:basedOn w:val="a1"/>
    <w:uiPriority w:val="59"/>
    <w:rsid w:val="005F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09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0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0910"/>
    <w:rPr>
      <w:sz w:val="20"/>
      <w:szCs w:val="20"/>
    </w:rPr>
  </w:style>
  <w:style w:type="table" w:styleId="a7">
    <w:name w:val="Table Grid"/>
    <w:basedOn w:val="a1"/>
    <w:uiPriority w:val="59"/>
    <w:rsid w:val="005F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2280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9663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138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528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3392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2016-07-19T08:08:00Z</dcterms:created>
  <dcterms:modified xsi:type="dcterms:W3CDTF">2016-07-19T08:08:00Z</dcterms:modified>
</cp:coreProperties>
</file>